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93" w:rsidRPr="00DB348D" w:rsidRDefault="00A42893" w:rsidP="008C447C">
      <w:pPr>
        <w:pStyle w:val="IntenseQuote"/>
        <w:spacing w:before="0" w:after="0" w:line="360" w:lineRule="auto"/>
        <w:ind w:left="0" w:right="-1"/>
        <w:rPr>
          <w:rFonts w:cs="Arial"/>
          <w:color w:val="BF311A"/>
          <w:sz w:val="20"/>
          <w:szCs w:val="20"/>
        </w:rPr>
      </w:pPr>
      <w:r>
        <w:rPr>
          <w:rFonts w:cs="Arial"/>
          <w:color w:val="BF311A"/>
          <w:sz w:val="20"/>
          <w:szCs w:val="20"/>
        </w:rPr>
        <w:t>POSITION DETAILS</w:t>
      </w:r>
    </w:p>
    <w:p w:rsidR="00A42893" w:rsidRDefault="00A42893" w:rsidP="008C447C">
      <w:pPr>
        <w:pStyle w:val="Default"/>
        <w:spacing w:line="360" w:lineRule="auto"/>
        <w:rPr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843"/>
        <w:gridCol w:w="1985"/>
        <w:gridCol w:w="2268"/>
        <w:gridCol w:w="3685"/>
      </w:tblGrid>
      <w:tr w:rsidR="004C4DC6" w:rsidRPr="00871AA0" w:rsidTr="00E12C71">
        <w:tc>
          <w:tcPr>
            <w:tcW w:w="1843" w:type="dxa"/>
            <w:shd w:val="clear" w:color="auto" w:fill="133D8D"/>
            <w:vAlign w:val="center"/>
          </w:tcPr>
          <w:p w:rsidR="004C4DC6" w:rsidRPr="00871AA0" w:rsidRDefault="004C4DC6" w:rsidP="00E12C7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871AA0">
              <w:rPr>
                <w:rFonts w:cs="Arial"/>
                <w:b/>
                <w:sz w:val="20"/>
                <w:szCs w:val="20"/>
              </w:rPr>
              <w:t>Program / Unit:</w:t>
            </w:r>
          </w:p>
        </w:tc>
        <w:tc>
          <w:tcPr>
            <w:tcW w:w="1985" w:type="dxa"/>
          </w:tcPr>
          <w:p w:rsidR="004C4DC6" w:rsidRPr="00871AA0" w:rsidRDefault="004C4DC6" w:rsidP="00E12C7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71AA0">
              <w:rPr>
                <w:rFonts w:cs="Arial"/>
                <w:sz w:val="20"/>
                <w:szCs w:val="20"/>
              </w:rPr>
              <w:t>Housing</w:t>
            </w:r>
          </w:p>
        </w:tc>
        <w:tc>
          <w:tcPr>
            <w:tcW w:w="2268" w:type="dxa"/>
            <w:shd w:val="clear" w:color="auto" w:fill="133D8D"/>
            <w:vAlign w:val="center"/>
          </w:tcPr>
          <w:p w:rsidR="004C4DC6" w:rsidRPr="00871AA0" w:rsidRDefault="004C4DC6" w:rsidP="00E12C7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871AA0">
              <w:rPr>
                <w:rFonts w:cs="Arial"/>
                <w:b/>
                <w:sz w:val="20"/>
                <w:szCs w:val="20"/>
              </w:rPr>
              <w:t>Employment Status:</w:t>
            </w:r>
          </w:p>
        </w:tc>
        <w:tc>
          <w:tcPr>
            <w:tcW w:w="3685" w:type="dxa"/>
          </w:tcPr>
          <w:p w:rsidR="004C4DC6" w:rsidRPr="00871AA0" w:rsidRDefault="004C4DC6" w:rsidP="00E12C7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71AA0">
              <w:rPr>
                <w:rFonts w:cs="Arial"/>
                <w:sz w:val="20"/>
                <w:szCs w:val="20"/>
              </w:rPr>
              <w:t>Permanent Full-Time</w:t>
            </w:r>
          </w:p>
        </w:tc>
      </w:tr>
      <w:tr w:rsidR="004C4DC6" w:rsidRPr="00871AA0" w:rsidTr="00E12C71">
        <w:tc>
          <w:tcPr>
            <w:tcW w:w="1843" w:type="dxa"/>
            <w:shd w:val="clear" w:color="auto" w:fill="133D8D"/>
            <w:vAlign w:val="center"/>
          </w:tcPr>
          <w:p w:rsidR="004C4DC6" w:rsidRPr="00871AA0" w:rsidRDefault="004C4DC6" w:rsidP="00E12C7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871AA0">
              <w:rPr>
                <w:rFonts w:cs="Arial"/>
                <w:b/>
                <w:sz w:val="20"/>
                <w:szCs w:val="20"/>
              </w:rPr>
              <w:t>Location:</w:t>
            </w:r>
          </w:p>
        </w:tc>
        <w:tc>
          <w:tcPr>
            <w:tcW w:w="1985" w:type="dxa"/>
          </w:tcPr>
          <w:p w:rsidR="004C4DC6" w:rsidRPr="00871AA0" w:rsidRDefault="004C4DC6" w:rsidP="00E12C71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Rockhampton</w:t>
            </w:r>
          </w:p>
        </w:tc>
        <w:tc>
          <w:tcPr>
            <w:tcW w:w="2268" w:type="dxa"/>
            <w:shd w:val="clear" w:color="auto" w:fill="133D8D"/>
            <w:vAlign w:val="center"/>
          </w:tcPr>
          <w:p w:rsidR="004C4DC6" w:rsidRPr="00871AA0" w:rsidRDefault="004C4DC6" w:rsidP="00E12C7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871AA0">
              <w:rPr>
                <w:rFonts w:cs="Arial"/>
                <w:b/>
                <w:sz w:val="20"/>
                <w:szCs w:val="20"/>
              </w:rPr>
              <w:t>Reports To:</w:t>
            </w:r>
          </w:p>
        </w:tc>
        <w:tc>
          <w:tcPr>
            <w:tcW w:w="3685" w:type="dxa"/>
          </w:tcPr>
          <w:p w:rsidR="004C4DC6" w:rsidRPr="00871AA0" w:rsidRDefault="004C4DC6" w:rsidP="00E12C71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Housing Manager</w:t>
            </w:r>
          </w:p>
        </w:tc>
      </w:tr>
      <w:tr w:rsidR="004C4DC6" w:rsidRPr="00871AA0" w:rsidTr="00E12C71">
        <w:tc>
          <w:tcPr>
            <w:tcW w:w="1843" w:type="dxa"/>
            <w:shd w:val="clear" w:color="auto" w:fill="133D8D"/>
            <w:vAlign w:val="center"/>
          </w:tcPr>
          <w:p w:rsidR="004C4DC6" w:rsidRPr="00871AA0" w:rsidRDefault="004C4DC6" w:rsidP="00E12C7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871AA0">
              <w:rPr>
                <w:rFonts w:cs="Arial"/>
                <w:b/>
                <w:sz w:val="20"/>
                <w:szCs w:val="20"/>
              </w:rPr>
              <w:t>Classification:</w:t>
            </w:r>
          </w:p>
        </w:tc>
        <w:tc>
          <w:tcPr>
            <w:tcW w:w="7938" w:type="dxa"/>
            <w:gridSpan w:val="3"/>
          </w:tcPr>
          <w:p w:rsidR="004C4DC6" w:rsidRPr="00871AA0" w:rsidRDefault="004C4DC6" w:rsidP="004C4DC6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71AA0">
              <w:rPr>
                <w:rFonts w:cs="Arial"/>
                <w:sz w:val="20"/>
                <w:szCs w:val="20"/>
              </w:rPr>
              <w:t xml:space="preserve">Level </w:t>
            </w:r>
            <w:r>
              <w:rPr>
                <w:rFonts w:cs="Arial"/>
                <w:sz w:val="20"/>
                <w:szCs w:val="20"/>
              </w:rPr>
              <w:t>5</w:t>
            </w:r>
            <w:r w:rsidRPr="00871AA0">
              <w:rPr>
                <w:rFonts w:cs="Arial"/>
                <w:sz w:val="20"/>
                <w:szCs w:val="20"/>
              </w:rPr>
              <w:t xml:space="preserve"> - </w:t>
            </w:r>
            <w:r w:rsidRPr="00871AA0">
              <w:rPr>
                <w:rFonts w:cs="Arial"/>
                <w:i/>
                <w:sz w:val="20"/>
                <w:szCs w:val="20"/>
              </w:rPr>
              <w:t>Social, Community, Home Care and Disability Services Industry Award 2010</w:t>
            </w:r>
          </w:p>
        </w:tc>
      </w:tr>
    </w:tbl>
    <w:p w:rsidR="00EC5D70" w:rsidRPr="004333D1" w:rsidRDefault="00EC5D70" w:rsidP="008C447C">
      <w:pPr>
        <w:pStyle w:val="Default"/>
        <w:spacing w:line="360" w:lineRule="auto"/>
        <w:rPr>
          <w:sz w:val="12"/>
          <w:szCs w:val="12"/>
        </w:rPr>
      </w:pPr>
    </w:p>
    <w:p w:rsidR="00601753" w:rsidRPr="00DB348D" w:rsidRDefault="00601753" w:rsidP="008C447C">
      <w:pPr>
        <w:pStyle w:val="IntenseQuote"/>
        <w:spacing w:before="0" w:after="0" w:line="360" w:lineRule="auto"/>
        <w:ind w:left="0" w:right="-1"/>
        <w:rPr>
          <w:rFonts w:cs="Arial"/>
          <w:color w:val="BF311A"/>
          <w:sz w:val="20"/>
          <w:szCs w:val="20"/>
        </w:rPr>
      </w:pPr>
      <w:r>
        <w:rPr>
          <w:rFonts w:cs="Arial"/>
          <w:color w:val="BF311A"/>
          <w:sz w:val="20"/>
          <w:szCs w:val="20"/>
        </w:rPr>
        <w:t>PURPOSE OF THE POSITION</w:t>
      </w:r>
    </w:p>
    <w:p w:rsidR="00601753" w:rsidRPr="004333D1" w:rsidRDefault="00601753" w:rsidP="008C447C">
      <w:pPr>
        <w:pStyle w:val="listheading"/>
        <w:spacing w:after="0" w:line="360" w:lineRule="auto"/>
        <w:rPr>
          <w:rFonts w:ascii="Arial" w:hAnsi="Arial" w:cs="Arial"/>
          <w:b w:val="0"/>
          <w:sz w:val="12"/>
          <w:szCs w:val="12"/>
          <w:lang w:val="en-AU"/>
        </w:rPr>
      </w:pPr>
    </w:p>
    <w:p w:rsidR="00601753" w:rsidRPr="002833FB" w:rsidRDefault="00E9269E" w:rsidP="008C447C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</w:t>
      </w:r>
      <w:r w:rsidR="00C4457C" w:rsidRPr="002833FB">
        <w:rPr>
          <w:rFonts w:cs="Arial"/>
          <w:sz w:val="20"/>
          <w:szCs w:val="20"/>
        </w:rPr>
        <w:t xml:space="preserve">he position </w:t>
      </w:r>
      <w:r>
        <w:rPr>
          <w:sz w:val="20"/>
          <w:szCs w:val="20"/>
        </w:rPr>
        <w:t xml:space="preserve">will </w:t>
      </w:r>
      <w:r w:rsidR="00212158">
        <w:rPr>
          <w:sz w:val="20"/>
          <w:szCs w:val="20"/>
        </w:rPr>
        <w:t>manage and overs</w:t>
      </w:r>
      <w:r>
        <w:rPr>
          <w:sz w:val="20"/>
          <w:szCs w:val="20"/>
        </w:rPr>
        <w:t xml:space="preserve">ee the housing finance </w:t>
      </w:r>
      <w:r w:rsidR="001051C5">
        <w:rPr>
          <w:sz w:val="20"/>
          <w:szCs w:val="20"/>
        </w:rPr>
        <w:t xml:space="preserve">function and </w:t>
      </w:r>
      <w:r>
        <w:rPr>
          <w:sz w:val="20"/>
          <w:szCs w:val="20"/>
        </w:rPr>
        <w:t>play</w:t>
      </w:r>
      <w:r w:rsidR="001051C5">
        <w:rPr>
          <w:sz w:val="20"/>
          <w:szCs w:val="20"/>
        </w:rPr>
        <w:t>s</w:t>
      </w:r>
      <w:r>
        <w:rPr>
          <w:sz w:val="20"/>
          <w:szCs w:val="20"/>
        </w:rPr>
        <w:t xml:space="preserve"> a pivotal role in workin</w:t>
      </w:r>
      <w:r w:rsidR="00CB0FA5">
        <w:rPr>
          <w:sz w:val="20"/>
          <w:szCs w:val="20"/>
        </w:rPr>
        <w:t xml:space="preserve">g with the Housing Manager and </w:t>
      </w:r>
      <w:r w:rsidR="005E78D0">
        <w:rPr>
          <w:sz w:val="20"/>
          <w:szCs w:val="20"/>
        </w:rPr>
        <w:t>p</w:t>
      </w:r>
      <w:r>
        <w:rPr>
          <w:sz w:val="20"/>
          <w:szCs w:val="20"/>
        </w:rPr>
        <w:t xml:space="preserve">rogram Coordinators </w:t>
      </w:r>
      <w:r w:rsidR="00FD0C3E">
        <w:rPr>
          <w:sz w:val="20"/>
          <w:szCs w:val="20"/>
        </w:rPr>
        <w:t xml:space="preserve">with regard to </w:t>
      </w:r>
      <w:r w:rsidR="005A05B9">
        <w:rPr>
          <w:sz w:val="20"/>
          <w:szCs w:val="20"/>
        </w:rPr>
        <w:t xml:space="preserve">sound financial management practices, </w:t>
      </w:r>
      <w:r>
        <w:rPr>
          <w:sz w:val="20"/>
          <w:szCs w:val="20"/>
        </w:rPr>
        <w:t>program viability and sustainability</w:t>
      </w:r>
      <w:r w:rsidR="005E7D8E">
        <w:rPr>
          <w:sz w:val="20"/>
          <w:szCs w:val="20"/>
        </w:rPr>
        <w:t>, in order to achieve optimal</w:t>
      </w:r>
      <w:r w:rsidR="00FD0C3E">
        <w:rPr>
          <w:sz w:val="20"/>
          <w:szCs w:val="20"/>
        </w:rPr>
        <w:t xml:space="preserve"> outcomes for tenants and the organisation</w:t>
      </w:r>
      <w:r>
        <w:rPr>
          <w:sz w:val="20"/>
          <w:szCs w:val="20"/>
        </w:rPr>
        <w:t>.</w:t>
      </w:r>
    </w:p>
    <w:p w:rsidR="00C4457C" w:rsidRPr="008C447C" w:rsidRDefault="00C4457C" w:rsidP="008C447C">
      <w:pPr>
        <w:spacing w:line="360" w:lineRule="auto"/>
        <w:rPr>
          <w:rFonts w:cs="Arial"/>
          <w:sz w:val="12"/>
          <w:szCs w:val="12"/>
        </w:rPr>
      </w:pPr>
    </w:p>
    <w:p w:rsidR="00D22CA5" w:rsidRPr="00DB348D" w:rsidRDefault="00A42893" w:rsidP="008C447C">
      <w:pPr>
        <w:pStyle w:val="IntenseQuote"/>
        <w:spacing w:before="0" w:after="0" w:line="360" w:lineRule="auto"/>
        <w:ind w:left="0" w:right="-1"/>
        <w:rPr>
          <w:rFonts w:cs="Arial"/>
          <w:color w:val="BF311A"/>
          <w:sz w:val="20"/>
          <w:szCs w:val="20"/>
        </w:rPr>
      </w:pPr>
      <w:r w:rsidRPr="00DB348D">
        <w:rPr>
          <w:rFonts w:cs="Arial"/>
          <w:color w:val="BF311A"/>
          <w:sz w:val="20"/>
          <w:szCs w:val="20"/>
        </w:rPr>
        <w:t>POSITION RESPONSIBILITIES</w:t>
      </w:r>
    </w:p>
    <w:p w:rsidR="00B92C26" w:rsidRPr="004333D1" w:rsidRDefault="00B92C26" w:rsidP="008C447C">
      <w:pPr>
        <w:pStyle w:val="listheading"/>
        <w:spacing w:after="0" w:line="360" w:lineRule="auto"/>
        <w:rPr>
          <w:rFonts w:ascii="Arial" w:hAnsi="Arial" w:cs="Arial"/>
          <w:b w:val="0"/>
          <w:sz w:val="12"/>
          <w:szCs w:val="12"/>
          <w:lang w:val="en-AU"/>
        </w:rPr>
      </w:pPr>
    </w:p>
    <w:tbl>
      <w:tblPr>
        <w:tblW w:w="506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"/>
        <w:gridCol w:w="2259"/>
        <w:gridCol w:w="7514"/>
      </w:tblGrid>
      <w:tr w:rsidR="008C447C" w:rsidRPr="00BC64BC" w:rsidTr="00E12C71">
        <w:trPr>
          <w:trHeight w:hRule="exact" w:val="412"/>
          <w:tblHeader/>
        </w:trPr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33D8D"/>
            <w:vAlign w:val="center"/>
          </w:tcPr>
          <w:p w:rsidR="008C447C" w:rsidRPr="00BC64BC" w:rsidRDefault="008C447C" w:rsidP="008C447C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Arial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BC64BC">
              <w:rPr>
                <w:rFonts w:cs="Arial"/>
                <w:b/>
                <w:bCs/>
                <w:color w:val="FFFFFF"/>
                <w:sz w:val="20"/>
                <w:szCs w:val="20"/>
                <w:lang w:val="en-GB"/>
              </w:rPr>
              <w:t>K</w:t>
            </w:r>
            <w:r>
              <w:rPr>
                <w:rFonts w:cs="Arial"/>
                <w:b/>
                <w:bCs/>
                <w:color w:val="FFFFFF"/>
                <w:sz w:val="20"/>
                <w:szCs w:val="20"/>
                <w:lang w:val="en-GB"/>
              </w:rPr>
              <w:t>ey</w:t>
            </w:r>
            <w:r w:rsidRPr="00BC64BC">
              <w:rPr>
                <w:rFonts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bCs/>
                <w:color w:val="FFFFFF"/>
                <w:sz w:val="20"/>
                <w:szCs w:val="20"/>
                <w:lang w:val="en-GB"/>
              </w:rPr>
              <w:t>Accountabilities</w:t>
            </w:r>
          </w:p>
        </w:tc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33D8D"/>
            <w:vAlign w:val="center"/>
          </w:tcPr>
          <w:p w:rsidR="008C447C" w:rsidRPr="00BC64BC" w:rsidRDefault="008C447C" w:rsidP="008C447C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  <w:lang w:val="en-GB"/>
              </w:rPr>
              <w:t>Key Activities</w:t>
            </w:r>
          </w:p>
        </w:tc>
      </w:tr>
      <w:tr w:rsidR="00C55510" w:rsidRPr="00BC64BC" w:rsidTr="00E12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" w:type="pct"/>
          <w:trHeight w:val="8452"/>
        </w:trPr>
        <w:tc>
          <w:tcPr>
            <w:tcW w:w="115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55510" w:rsidRPr="006A494D" w:rsidRDefault="00C55510" w:rsidP="007E1A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napToGrid w:val="0"/>
                <w:color w:val="000000"/>
                <w:sz w:val="20"/>
                <w:szCs w:val="20"/>
              </w:rPr>
            </w:pPr>
            <w:r w:rsidRPr="006A494D">
              <w:rPr>
                <w:rFonts w:cs="Arial"/>
                <w:b/>
                <w:snapToGrid w:val="0"/>
                <w:color w:val="000000"/>
                <w:sz w:val="20"/>
                <w:szCs w:val="20"/>
              </w:rPr>
              <w:t xml:space="preserve">Provide financial </w:t>
            </w:r>
            <w:r w:rsidR="007E1ACA">
              <w:rPr>
                <w:rFonts w:cs="Arial"/>
                <w:b/>
                <w:snapToGrid w:val="0"/>
                <w:color w:val="000000"/>
                <w:sz w:val="20"/>
                <w:szCs w:val="20"/>
              </w:rPr>
              <w:t xml:space="preserve">management </w:t>
            </w:r>
            <w:r w:rsidRPr="006A494D">
              <w:rPr>
                <w:rFonts w:cs="Arial"/>
                <w:b/>
                <w:snapToGrid w:val="0"/>
                <w:color w:val="000000"/>
                <w:sz w:val="20"/>
                <w:szCs w:val="20"/>
              </w:rPr>
              <w:t>support and advice to ensure program viability and sustainability</w:t>
            </w:r>
          </w:p>
        </w:tc>
        <w:tc>
          <w:tcPr>
            <w:tcW w:w="38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55510" w:rsidRPr="004A5C1B" w:rsidRDefault="004A5C1B" w:rsidP="004A5C1B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Responsibility</w:t>
            </w:r>
            <w:r w:rsidRPr="004A5C1B">
              <w:rPr>
                <w:rFonts w:cs="Arial"/>
                <w:sz w:val="20"/>
                <w:szCs w:val="20"/>
              </w:rPr>
              <w:t xml:space="preserve"> to oversee and advise on the financial viability and sustainability of the Housing Program in order to ensure operation within the parameters of the funding/service agreement, AnglicareCQ polices and procedures and applicable legislation, in consultation with the Housing Manager and Housing Services Team</w:t>
            </w:r>
            <w:r w:rsidR="00C55510" w:rsidRPr="004A5C1B">
              <w:rPr>
                <w:rFonts w:cs="Arial"/>
                <w:sz w:val="20"/>
                <w:szCs w:val="20"/>
              </w:rPr>
              <w:t>.</w:t>
            </w:r>
          </w:p>
          <w:p w:rsidR="005A05B9" w:rsidRPr="009E2A76" w:rsidRDefault="005A05B9" w:rsidP="005A05B9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jc w:val="both"/>
              <w:rPr>
                <w:rFonts w:cs="Arial"/>
                <w:sz w:val="20"/>
                <w:szCs w:val="20"/>
              </w:rPr>
            </w:pPr>
            <w:r w:rsidRPr="009E2A76">
              <w:rPr>
                <w:rFonts w:cs="Arial"/>
                <w:sz w:val="20"/>
                <w:szCs w:val="20"/>
              </w:rPr>
              <w:t>Collects pertinent financial data, establishes the facts, draws valid conclusions and initiates an appropriate course of action.</w:t>
            </w:r>
          </w:p>
          <w:p w:rsidR="005A05B9" w:rsidRPr="009E2A76" w:rsidRDefault="005A05B9" w:rsidP="005A05B9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jc w:val="both"/>
              <w:rPr>
                <w:rFonts w:cs="Arial"/>
                <w:sz w:val="20"/>
                <w:szCs w:val="20"/>
              </w:rPr>
            </w:pPr>
            <w:r w:rsidRPr="009E2A76">
              <w:rPr>
                <w:rFonts w:cs="Arial"/>
                <w:sz w:val="20"/>
                <w:szCs w:val="20"/>
              </w:rPr>
              <w:t>Continuously updates and analyses operational financial statistics and conduct financial forecasts on a monthly</w:t>
            </w:r>
            <w:r w:rsidR="000E6F24">
              <w:rPr>
                <w:rFonts w:cs="Arial"/>
                <w:sz w:val="20"/>
                <w:szCs w:val="20"/>
              </w:rPr>
              <w:t>, quarterly or annual</w:t>
            </w:r>
            <w:r w:rsidRPr="009E2A76">
              <w:rPr>
                <w:rFonts w:cs="Arial"/>
                <w:sz w:val="20"/>
                <w:szCs w:val="20"/>
              </w:rPr>
              <w:t xml:space="preserve"> basis.</w:t>
            </w:r>
          </w:p>
          <w:p w:rsidR="005A05B9" w:rsidRPr="001F6A84" w:rsidRDefault="005A05B9" w:rsidP="005A05B9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jc w:val="both"/>
              <w:rPr>
                <w:rFonts w:cs="Arial"/>
                <w:sz w:val="20"/>
                <w:szCs w:val="20"/>
              </w:rPr>
            </w:pPr>
            <w:r w:rsidRPr="00E52A1F">
              <w:rPr>
                <w:rFonts w:cs="Arial"/>
                <w:sz w:val="20"/>
                <w:szCs w:val="20"/>
              </w:rPr>
              <w:t>Works with Tenancy</w:t>
            </w:r>
            <w:r>
              <w:rPr>
                <w:rFonts w:cs="Arial"/>
                <w:sz w:val="20"/>
                <w:szCs w:val="20"/>
              </w:rPr>
              <w:t xml:space="preserve"> and Property</w:t>
            </w:r>
            <w:r w:rsidRPr="00E52A1F">
              <w:rPr>
                <w:rFonts w:cs="Arial"/>
                <w:sz w:val="20"/>
                <w:szCs w:val="20"/>
              </w:rPr>
              <w:t xml:space="preserve"> Management </w:t>
            </w:r>
            <w:r w:rsidR="005E78D0">
              <w:rPr>
                <w:rFonts w:cs="Arial"/>
                <w:sz w:val="20"/>
                <w:szCs w:val="20"/>
              </w:rPr>
              <w:t>t</w:t>
            </w:r>
            <w:r w:rsidRPr="00E52A1F">
              <w:rPr>
                <w:rFonts w:cs="Arial"/>
                <w:sz w:val="20"/>
                <w:szCs w:val="20"/>
              </w:rPr>
              <w:t>eam</w:t>
            </w:r>
            <w:r>
              <w:rPr>
                <w:rFonts w:cs="Arial"/>
                <w:sz w:val="20"/>
                <w:szCs w:val="20"/>
              </w:rPr>
              <w:t>s</w:t>
            </w:r>
            <w:r w:rsidRPr="00E52A1F">
              <w:rPr>
                <w:rFonts w:cs="Arial"/>
                <w:sz w:val="20"/>
                <w:szCs w:val="20"/>
              </w:rPr>
              <w:t xml:space="preserve"> to </w:t>
            </w:r>
            <w:r>
              <w:rPr>
                <w:rFonts w:cs="Arial"/>
                <w:sz w:val="20"/>
                <w:szCs w:val="20"/>
              </w:rPr>
              <w:t xml:space="preserve">develop strategies which </w:t>
            </w:r>
            <w:r w:rsidRPr="00E52A1F">
              <w:rPr>
                <w:rFonts w:cs="Arial"/>
                <w:sz w:val="20"/>
                <w:szCs w:val="20"/>
              </w:rPr>
              <w:t>minimise expenditure</w:t>
            </w:r>
            <w:r>
              <w:rPr>
                <w:rFonts w:cs="Arial"/>
                <w:sz w:val="20"/>
                <w:szCs w:val="20"/>
              </w:rPr>
              <w:t xml:space="preserve"> and maximise revenue for the housing portfolio</w:t>
            </w:r>
            <w:r w:rsidRPr="00E52A1F">
              <w:rPr>
                <w:rFonts w:cs="Arial"/>
                <w:sz w:val="20"/>
                <w:szCs w:val="20"/>
              </w:rPr>
              <w:t>.</w:t>
            </w:r>
          </w:p>
          <w:p w:rsidR="005A05B9" w:rsidRPr="009E2A76" w:rsidRDefault="005A05B9" w:rsidP="005A05B9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jc w:val="both"/>
              <w:rPr>
                <w:rFonts w:cs="Arial"/>
                <w:sz w:val="20"/>
                <w:szCs w:val="20"/>
              </w:rPr>
            </w:pPr>
            <w:r w:rsidRPr="009E2A76">
              <w:rPr>
                <w:rFonts w:cs="Arial"/>
                <w:sz w:val="20"/>
                <w:szCs w:val="20"/>
              </w:rPr>
              <w:t xml:space="preserve">Reviews and </w:t>
            </w:r>
            <w:r w:rsidR="000E6F24">
              <w:rPr>
                <w:rFonts w:cs="Arial"/>
                <w:sz w:val="20"/>
                <w:szCs w:val="20"/>
              </w:rPr>
              <w:t>takes</w:t>
            </w:r>
            <w:r w:rsidRPr="009E2A76">
              <w:rPr>
                <w:rFonts w:cs="Arial"/>
                <w:sz w:val="20"/>
                <w:szCs w:val="20"/>
              </w:rPr>
              <w:t xml:space="preserve"> appropriate actions in terms of </w:t>
            </w:r>
            <w:r>
              <w:rPr>
                <w:rFonts w:cs="Arial"/>
                <w:sz w:val="20"/>
                <w:szCs w:val="20"/>
              </w:rPr>
              <w:t xml:space="preserve">previous tenant </w:t>
            </w:r>
            <w:r w:rsidRPr="009E2A76">
              <w:rPr>
                <w:rFonts w:cs="Arial"/>
                <w:sz w:val="20"/>
                <w:szCs w:val="20"/>
              </w:rPr>
              <w:t>debt management to achieve optimal recovery of income.</w:t>
            </w:r>
          </w:p>
          <w:p w:rsidR="00E12C71" w:rsidRPr="009E2A76" w:rsidRDefault="00E12C71" w:rsidP="00E12C71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jc w:val="both"/>
              <w:rPr>
                <w:rFonts w:cs="Arial"/>
                <w:sz w:val="20"/>
                <w:szCs w:val="20"/>
              </w:rPr>
            </w:pPr>
            <w:r w:rsidRPr="009E2A76">
              <w:rPr>
                <w:rFonts w:cs="Arial"/>
                <w:sz w:val="20"/>
                <w:szCs w:val="20"/>
              </w:rPr>
              <w:t>Ensures that appropriate financial controls are in place to guarantee financial probity, keep accurate records and provide management and monitoring information.</w:t>
            </w:r>
          </w:p>
          <w:p w:rsidR="00C55510" w:rsidRPr="005E78D0" w:rsidRDefault="000E6F24" w:rsidP="009E2A76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5E78D0">
              <w:rPr>
                <w:rFonts w:cs="Arial"/>
                <w:color w:val="000000" w:themeColor="text1"/>
                <w:sz w:val="20"/>
                <w:szCs w:val="20"/>
              </w:rPr>
              <w:t>Undertake</w:t>
            </w:r>
            <w:r w:rsidR="00C55510" w:rsidRPr="005E78D0">
              <w:rPr>
                <w:rFonts w:cs="Arial"/>
                <w:color w:val="000000" w:themeColor="text1"/>
                <w:sz w:val="20"/>
                <w:szCs w:val="20"/>
              </w:rPr>
              <w:t xml:space="preserve"> benchmark</w:t>
            </w:r>
            <w:r w:rsidR="005A05B9" w:rsidRPr="005E78D0">
              <w:rPr>
                <w:rFonts w:cs="Arial"/>
                <w:color w:val="000000" w:themeColor="text1"/>
                <w:sz w:val="20"/>
                <w:szCs w:val="20"/>
              </w:rPr>
              <w:t>ing</w:t>
            </w:r>
            <w:r w:rsidR="00C55510" w:rsidRPr="005E78D0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5E78D0">
              <w:rPr>
                <w:rFonts w:cs="Arial"/>
                <w:color w:val="000000" w:themeColor="text1"/>
                <w:sz w:val="20"/>
                <w:szCs w:val="20"/>
              </w:rPr>
              <w:t xml:space="preserve">of </w:t>
            </w:r>
            <w:r w:rsidR="00C55510" w:rsidRPr="005E78D0">
              <w:rPr>
                <w:rFonts w:cs="Arial"/>
                <w:color w:val="000000" w:themeColor="text1"/>
                <w:sz w:val="20"/>
                <w:szCs w:val="20"/>
              </w:rPr>
              <w:t>service delivery</w:t>
            </w:r>
            <w:r w:rsidRPr="005E78D0">
              <w:rPr>
                <w:rFonts w:cs="Arial"/>
                <w:color w:val="000000" w:themeColor="text1"/>
                <w:sz w:val="20"/>
                <w:szCs w:val="20"/>
              </w:rPr>
              <w:t xml:space="preserve"> outputs</w:t>
            </w:r>
            <w:r w:rsidR="00C55510" w:rsidRPr="005E78D0">
              <w:rPr>
                <w:rFonts w:cs="Arial"/>
                <w:color w:val="000000" w:themeColor="text1"/>
                <w:sz w:val="20"/>
                <w:szCs w:val="20"/>
              </w:rPr>
              <w:t xml:space="preserve"> in terms of quality and cost, </w:t>
            </w:r>
            <w:r w:rsidRPr="005E78D0">
              <w:rPr>
                <w:rFonts w:cs="Arial"/>
                <w:color w:val="000000" w:themeColor="text1"/>
                <w:sz w:val="20"/>
                <w:szCs w:val="20"/>
              </w:rPr>
              <w:t xml:space="preserve">and providing options for </w:t>
            </w:r>
            <w:r w:rsidR="00C55510" w:rsidRPr="005E78D0">
              <w:rPr>
                <w:rFonts w:cs="Arial"/>
                <w:color w:val="000000" w:themeColor="text1"/>
                <w:sz w:val="20"/>
                <w:szCs w:val="20"/>
              </w:rPr>
              <w:t>ensuring value for money.</w:t>
            </w:r>
          </w:p>
          <w:p w:rsidR="005E78D0" w:rsidRDefault="000E6F24" w:rsidP="005E78D0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jc w:val="both"/>
              <w:rPr>
                <w:rFonts w:cs="Arial"/>
                <w:sz w:val="20"/>
                <w:szCs w:val="20"/>
              </w:rPr>
            </w:pPr>
            <w:r w:rsidRPr="005E78D0">
              <w:rPr>
                <w:rFonts w:cs="Arial"/>
                <w:sz w:val="20"/>
                <w:szCs w:val="20"/>
              </w:rPr>
              <w:t>Actively participate in the preparation of the Financial Performance Report and other statistical information as part of the National Regulatory System for Community Housing</w:t>
            </w:r>
            <w:r w:rsidR="005E78D0" w:rsidRPr="005E78D0">
              <w:rPr>
                <w:rFonts w:cs="Arial"/>
                <w:sz w:val="20"/>
                <w:szCs w:val="20"/>
              </w:rPr>
              <w:t>.</w:t>
            </w:r>
          </w:p>
          <w:p w:rsidR="000E6F24" w:rsidRDefault="005E78D0" w:rsidP="005E78D0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Supports and advises the Housing Services Leadership Team in relation to the financial inputs during specification, tender and/or proposal development.</w:t>
            </w:r>
          </w:p>
          <w:p w:rsidR="005E78D0" w:rsidRPr="005E78D0" w:rsidRDefault="005E78D0" w:rsidP="00DE44BE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Assists the Housing Manager and program Coordinators to identify and progress initiatives relating to future investments and development of the housing portfolio.</w:t>
            </w:r>
          </w:p>
        </w:tc>
      </w:tr>
      <w:tr w:rsidR="00E12C71" w:rsidRPr="00BC64BC" w:rsidTr="000E6F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" w:type="pct"/>
          <w:trHeight w:val="5951"/>
        </w:trPr>
        <w:tc>
          <w:tcPr>
            <w:tcW w:w="1155" w:type="pc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E12C71" w:rsidRPr="00C44559" w:rsidRDefault="007E1ACA" w:rsidP="007E1A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napToGrid w:val="0"/>
                <w:sz w:val="20"/>
                <w:szCs w:val="20"/>
              </w:rPr>
            </w:pPr>
            <w:r>
              <w:rPr>
                <w:rFonts w:cs="Arial"/>
                <w:b/>
                <w:bCs/>
                <w:snapToGrid w:val="0"/>
                <w:sz w:val="20"/>
                <w:szCs w:val="20"/>
              </w:rPr>
              <w:lastRenderedPageBreak/>
              <w:t>Provide</w:t>
            </w:r>
            <w:r w:rsidR="005A05B9">
              <w:rPr>
                <w:rFonts w:cs="Arial"/>
                <w:b/>
                <w:bCs/>
                <w:snapToGrid w:val="0"/>
                <w:sz w:val="20"/>
                <w:szCs w:val="20"/>
              </w:rPr>
              <w:t xml:space="preserve"> financial</w:t>
            </w:r>
            <w:r>
              <w:rPr>
                <w:rFonts w:cs="Arial"/>
                <w:b/>
                <w:bCs/>
                <w:snapToGrid w:val="0"/>
                <w:sz w:val="20"/>
                <w:szCs w:val="20"/>
              </w:rPr>
              <w:t xml:space="preserve"> information, record keeping and reporting services</w:t>
            </w:r>
          </w:p>
        </w:tc>
        <w:tc>
          <w:tcPr>
            <w:tcW w:w="3841" w:type="pc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E12C71" w:rsidRDefault="00E12C71" w:rsidP="001F6A84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jc w:val="both"/>
              <w:rPr>
                <w:rFonts w:cs="Arial"/>
                <w:sz w:val="20"/>
                <w:szCs w:val="20"/>
              </w:rPr>
            </w:pPr>
            <w:r w:rsidRPr="008600C7">
              <w:rPr>
                <w:rFonts w:cs="Arial"/>
                <w:sz w:val="20"/>
                <w:szCs w:val="20"/>
              </w:rPr>
              <w:t>Ensure that records and statistics are kept up to date and all accountab</w:t>
            </w:r>
            <w:r>
              <w:rPr>
                <w:rFonts w:cs="Arial"/>
                <w:sz w:val="20"/>
                <w:szCs w:val="20"/>
              </w:rPr>
              <w:t xml:space="preserve">ility requirements of AnglicareCQ </w:t>
            </w:r>
            <w:r w:rsidRPr="008600C7">
              <w:rPr>
                <w:rFonts w:cs="Arial"/>
                <w:sz w:val="20"/>
                <w:szCs w:val="20"/>
              </w:rPr>
              <w:t xml:space="preserve">and </w:t>
            </w:r>
            <w:r>
              <w:rPr>
                <w:rFonts w:cs="Arial"/>
                <w:sz w:val="20"/>
                <w:szCs w:val="20"/>
              </w:rPr>
              <w:t>sector requirements</w:t>
            </w:r>
            <w:r w:rsidRPr="008600C7">
              <w:rPr>
                <w:rFonts w:cs="Arial"/>
                <w:sz w:val="20"/>
                <w:szCs w:val="20"/>
              </w:rPr>
              <w:t xml:space="preserve"> are met in a timely manner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E12C71" w:rsidRPr="00720680" w:rsidRDefault="00E12C71" w:rsidP="00720680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jc w:val="both"/>
              <w:rPr>
                <w:rFonts w:cs="Arial"/>
                <w:sz w:val="20"/>
                <w:szCs w:val="20"/>
              </w:rPr>
            </w:pPr>
            <w:r w:rsidRPr="00C365A1">
              <w:rPr>
                <w:rFonts w:cs="Arial"/>
                <w:sz w:val="20"/>
                <w:szCs w:val="20"/>
              </w:rPr>
              <w:t xml:space="preserve">Conduct regular audits to identify any </w:t>
            </w:r>
            <w:r>
              <w:rPr>
                <w:rFonts w:cs="Arial"/>
                <w:sz w:val="20"/>
                <w:szCs w:val="20"/>
              </w:rPr>
              <w:t>financial management improvement activities</w:t>
            </w:r>
            <w:r w:rsidR="000E6F24">
              <w:rPr>
                <w:rFonts w:cs="Arial"/>
                <w:sz w:val="20"/>
                <w:szCs w:val="20"/>
              </w:rPr>
              <w:t xml:space="preserve"> and correct any anomalies found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E12C71" w:rsidRPr="000E6F24" w:rsidRDefault="00E12C71" w:rsidP="009E2A76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0E6F24">
              <w:rPr>
                <w:rFonts w:cs="Arial"/>
                <w:color w:val="000000" w:themeColor="text1"/>
                <w:sz w:val="20"/>
                <w:szCs w:val="20"/>
              </w:rPr>
              <w:t xml:space="preserve">Oversee, validate and prepare financial </w:t>
            </w:r>
            <w:r w:rsidR="000E6F24">
              <w:rPr>
                <w:rFonts w:cs="Arial"/>
                <w:color w:val="000000" w:themeColor="text1"/>
                <w:sz w:val="20"/>
                <w:szCs w:val="20"/>
              </w:rPr>
              <w:t xml:space="preserve">and statistical </w:t>
            </w:r>
            <w:r w:rsidRPr="000E6F24">
              <w:rPr>
                <w:rFonts w:cs="Arial"/>
                <w:color w:val="000000" w:themeColor="text1"/>
                <w:sz w:val="20"/>
                <w:szCs w:val="20"/>
              </w:rPr>
              <w:t>data to facilitate monthly, quarterly and annual program financial reporting, for use by internal and external stakeholders.</w:t>
            </w:r>
          </w:p>
          <w:p w:rsidR="00E12C71" w:rsidRPr="001F6A84" w:rsidRDefault="00E12C71" w:rsidP="001F6A84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jc w:val="both"/>
              <w:rPr>
                <w:rFonts w:cs="Arial"/>
                <w:sz w:val="20"/>
                <w:szCs w:val="20"/>
              </w:rPr>
            </w:pPr>
            <w:r w:rsidRPr="001F6A84">
              <w:rPr>
                <w:rFonts w:cs="Arial"/>
                <w:sz w:val="20"/>
                <w:szCs w:val="20"/>
              </w:rPr>
              <w:t>Develop and maintain a system for recording and reporting o</w:t>
            </w:r>
            <w:r>
              <w:rPr>
                <w:rFonts w:cs="Arial"/>
                <w:sz w:val="20"/>
                <w:szCs w:val="20"/>
              </w:rPr>
              <w:t xml:space="preserve">n program </w:t>
            </w:r>
            <w:r w:rsidR="000E6F24">
              <w:rPr>
                <w:rFonts w:cs="Arial"/>
                <w:sz w:val="20"/>
                <w:szCs w:val="20"/>
              </w:rPr>
              <w:t xml:space="preserve">viability </w:t>
            </w:r>
            <w:r>
              <w:rPr>
                <w:rFonts w:cs="Arial"/>
                <w:sz w:val="20"/>
                <w:szCs w:val="20"/>
              </w:rPr>
              <w:t>activities.</w:t>
            </w:r>
          </w:p>
          <w:p w:rsidR="00E12C71" w:rsidRPr="001F6A84" w:rsidRDefault="00E12C71" w:rsidP="001F6A84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jc w:val="both"/>
              <w:rPr>
                <w:rFonts w:cs="Arial"/>
                <w:sz w:val="20"/>
                <w:szCs w:val="20"/>
              </w:rPr>
            </w:pPr>
            <w:r w:rsidRPr="001F6A84">
              <w:rPr>
                <w:rFonts w:cs="Arial"/>
                <w:sz w:val="20"/>
                <w:szCs w:val="20"/>
              </w:rPr>
              <w:t>Ensure all duties are performed to high quality standards reflecting policy, procedure and practice standards.</w:t>
            </w:r>
          </w:p>
          <w:p w:rsidR="00E12C71" w:rsidRPr="001F6A84" w:rsidRDefault="00E12C71" w:rsidP="001F6A84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jc w:val="both"/>
              <w:rPr>
                <w:rFonts w:cs="Arial"/>
                <w:sz w:val="20"/>
                <w:szCs w:val="20"/>
              </w:rPr>
            </w:pPr>
            <w:r w:rsidRPr="001F6A84">
              <w:rPr>
                <w:rFonts w:cs="Arial"/>
                <w:sz w:val="20"/>
                <w:szCs w:val="20"/>
              </w:rPr>
              <w:t xml:space="preserve">Ensure </w:t>
            </w:r>
            <w:r w:rsidR="000E6F24">
              <w:rPr>
                <w:rFonts w:cs="Arial"/>
                <w:sz w:val="20"/>
                <w:szCs w:val="20"/>
              </w:rPr>
              <w:t xml:space="preserve">financial management </w:t>
            </w:r>
            <w:r w:rsidRPr="001F6A84">
              <w:rPr>
                <w:rFonts w:cs="Arial"/>
                <w:sz w:val="20"/>
                <w:szCs w:val="20"/>
              </w:rPr>
              <w:t>polic</w:t>
            </w:r>
            <w:r w:rsidR="000E6F24">
              <w:rPr>
                <w:rFonts w:cs="Arial"/>
                <w:sz w:val="20"/>
                <w:szCs w:val="20"/>
              </w:rPr>
              <w:t xml:space="preserve">ies </w:t>
            </w:r>
            <w:r w:rsidRPr="001F6A84">
              <w:rPr>
                <w:rFonts w:cs="Arial"/>
                <w:sz w:val="20"/>
                <w:szCs w:val="20"/>
              </w:rPr>
              <w:t>and procedure</w:t>
            </w:r>
            <w:r w:rsidR="000E6F24">
              <w:rPr>
                <w:rFonts w:cs="Arial"/>
                <w:sz w:val="20"/>
                <w:szCs w:val="20"/>
              </w:rPr>
              <w:t>s</w:t>
            </w:r>
            <w:r w:rsidRPr="001F6A84">
              <w:rPr>
                <w:rFonts w:cs="Arial"/>
                <w:sz w:val="20"/>
                <w:szCs w:val="20"/>
              </w:rPr>
              <w:t xml:space="preserve"> reflect the rights and responsibilities of program staff and </w:t>
            </w:r>
            <w:r w:rsidR="000E6F24">
              <w:rPr>
                <w:rFonts w:cs="Arial"/>
                <w:sz w:val="20"/>
                <w:szCs w:val="20"/>
              </w:rPr>
              <w:t>participants</w:t>
            </w:r>
            <w:r w:rsidRPr="001F6A84">
              <w:rPr>
                <w:rFonts w:cs="Arial"/>
                <w:sz w:val="20"/>
                <w:szCs w:val="20"/>
              </w:rPr>
              <w:t>.</w:t>
            </w:r>
          </w:p>
          <w:p w:rsidR="00E12C71" w:rsidRPr="001F6A84" w:rsidRDefault="00E12C71" w:rsidP="00E12C71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jc w:val="both"/>
              <w:rPr>
                <w:rFonts w:cs="Arial"/>
                <w:sz w:val="20"/>
                <w:szCs w:val="20"/>
              </w:rPr>
            </w:pPr>
            <w:r w:rsidRPr="001F6A84">
              <w:rPr>
                <w:rFonts w:cs="Arial"/>
                <w:sz w:val="20"/>
                <w:szCs w:val="20"/>
              </w:rPr>
              <w:t xml:space="preserve">Provide access to information in a manner which respects the privacy and dignity of </w:t>
            </w:r>
            <w:r w:rsidR="009421A6">
              <w:rPr>
                <w:rFonts w:cs="Arial"/>
                <w:sz w:val="20"/>
                <w:szCs w:val="20"/>
              </w:rPr>
              <w:t xml:space="preserve">program </w:t>
            </w:r>
            <w:r w:rsidRPr="001F6A84">
              <w:rPr>
                <w:rFonts w:cs="Arial"/>
                <w:sz w:val="20"/>
                <w:szCs w:val="20"/>
              </w:rPr>
              <w:t>participants.</w:t>
            </w:r>
          </w:p>
          <w:p w:rsidR="00E12C71" w:rsidRPr="00720680" w:rsidRDefault="00E12C71" w:rsidP="000E6F24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jc w:val="both"/>
              <w:rPr>
                <w:rFonts w:cs="Arial"/>
                <w:sz w:val="20"/>
                <w:szCs w:val="20"/>
              </w:rPr>
            </w:pPr>
            <w:r w:rsidRPr="001F6A84">
              <w:rPr>
                <w:rFonts w:cs="Arial"/>
                <w:sz w:val="20"/>
                <w:szCs w:val="20"/>
              </w:rPr>
              <w:t>Maintain current knowledge of relevant legislation</w:t>
            </w:r>
            <w:r w:rsidR="000E6F24">
              <w:rPr>
                <w:rFonts w:cs="Arial"/>
                <w:sz w:val="20"/>
                <w:szCs w:val="20"/>
              </w:rPr>
              <w:t xml:space="preserve">, sector </w:t>
            </w:r>
            <w:r w:rsidRPr="001F6A84">
              <w:rPr>
                <w:rFonts w:cs="Arial"/>
                <w:sz w:val="20"/>
                <w:szCs w:val="20"/>
              </w:rPr>
              <w:t>issues and standards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604557" w:rsidRPr="00BC64BC" w:rsidTr="00E12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" w:type="pct"/>
          <w:trHeight w:val="1133"/>
        </w:trPr>
        <w:tc>
          <w:tcPr>
            <w:tcW w:w="115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04557" w:rsidRPr="003A6C01" w:rsidRDefault="007E1ACA" w:rsidP="00E5045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Contribute to learning and development culture</w:t>
            </w:r>
          </w:p>
        </w:tc>
        <w:tc>
          <w:tcPr>
            <w:tcW w:w="38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A1FD6" w:rsidRDefault="005A1FD6" w:rsidP="001F6A84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Participate in regular supervision with line manager.</w:t>
            </w:r>
          </w:p>
          <w:p w:rsidR="009421A6" w:rsidRDefault="009421A6" w:rsidP="001F6A84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jc w:val="both"/>
              <w:rPr>
                <w:rFonts w:cs="Arial"/>
                <w:sz w:val="20"/>
                <w:szCs w:val="20"/>
              </w:rPr>
            </w:pPr>
            <w:r w:rsidRPr="008600C7">
              <w:rPr>
                <w:rFonts w:cs="Arial"/>
                <w:sz w:val="20"/>
                <w:szCs w:val="20"/>
              </w:rPr>
              <w:t xml:space="preserve">Provide </w:t>
            </w:r>
            <w:r>
              <w:rPr>
                <w:rFonts w:cs="Arial"/>
                <w:sz w:val="20"/>
                <w:szCs w:val="20"/>
              </w:rPr>
              <w:t>regular</w:t>
            </w:r>
            <w:r w:rsidRPr="008600C7">
              <w:rPr>
                <w:rFonts w:cs="Arial"/>
                <w:sz w:val="20"/>
                <w:szCs w:val="20"/>
              </w:rPr>
              <w:t xml:space="preserve"> supervision to </w:t>
            </w:r>
            <w:r>
              <w:rPr>
                <w:rFonts w:cs="Arial"/>
                <w:sz w:val="20"/>
                <w:szCs w:val="20"/>
              </w:rPr>
              <w:t>Housing Finance staff</w:t>
            </w:r>
            <w:r w:rsidRPr="008600C7">
              <w:rPr>
                <w:rFonts w:cs="Arial"/>
                <w:sz w:val="20"/>
                <w:szCs w:val="20"/>
              </w:rPr>
              <w:t xml:space="preserve"> ident</w:t>
            </w:r>
            <w:r>
              <w:rPr>
                <w:rFonts w:cs="Arial"/>
                <w:sz w:val="20"/>
                <w:szCs w:val="20"/>
              </w:rPr>
              <w:t xml:space="preserve">ifying performance requirements, developmental needs and that </w:t>
            </w:r>
            <w:r w:rsidRPr="008600C7">
              <w:rPr>
                <w:rFonts w:cs="Arial"/>
                <w:sz w:val="20"/>
                <w:szCs w:val="20"/>
              </w:rPr>
              <w:t xml:space="preserve">relevant training opportunities </w:t>
            </w:r>
            <w:r>
              <w:rPr>
                <w:rFonts w:cs="Arial"/>
                <w:sz w:val="20"/>
                <w:szCs w:val="20"/>
              </w:rPr>
              <w:t xml:space="preserve">are </w:t>
            </w:r>
            <w:r w:rsidRPr="008600C7">
              <w:rPr>
                <w:rFonts w:cs="Arial"/>
                <w:sz w:val="20"/>
                <w:szCs w:val="20"/>
              </w:rPr>
              <w:t>sought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604557" w:rsidRPr="001F6A84" w:rsidRDefault="00604557" w:rsidP="001F6A84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jc w:val="both"/>
              <w:rPr>
                <w:rFonts w:cs="Arial"/>
                <w:sz w:val="20"/>
                <w:szCs w:val="20"/>
              </w:rPr>
            </w:pPr>
            <w:r w:rsidRPr="001F6A84">
              <w:rPr>
                <w:rFonts w:cs="Arial"/>
                <w:sz w:val="20"/>
                <w:szCs w:val="20"/>
              </w:rPr>
              <w:t>Attend and participate in regional workshops and forums.</w:t>
            </w:r>
          </w:p>
          <w:p w:rsidR="005058CB" w:rsidRPr="001F6A84" w:rsidRDefault="005058CB" w:rsidP="001F6A84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jc w:val="both"/>
              <w:rPr>
                <w:rFonts w:cs="Arial"/>
                <w:sz w:val="20"/>
                <w:szCs w:val="20"/>
              </w:rPr>
            </w:pPr>
            <w:r w:rsidRPr="001F6A84">
              <w:rPr>
                <w:rFonts w:cs="Arial"/>
                <w:sz w:val="20"/>
                <w:szCs w:val="20"/>
              </w:rPr>
              <w:t>Ensure ongoing professional development by attending and participating in training opportunities as identified within the performance development and review process.</w:t>
            </w:r>
          </w:p>
          <w:p w:rsidR="005058CB" w:rsidRPr="005058CB" w:rsidRDefault="00604557" w:rsidP="009421A6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jc w:val="both"/>
              <w:rPr>
                <w:rFonts w:cs="Arial"/>
                <w:sz w:val="20"/>
                <w:szCs w:val="20"/>
              </w:rPr>
            </w:pPr>
            <w:r w:rsidRPr="008600C7">
              <w:rPr>
                <w:rFonts w:cs="Arial"/>
                <w:sz w:val="20"/>
                <w:szCs w:val="20"/>
              </w:rPr>
              <w:t xml:space="preserve">Induct and mentor new staff to understand </w:t>
            </w:r>
            <w:r>
              <w:rPr>
                <w:rFonts w:cs="Arial"/>
                <w:sz w:val="20"/>
                <w:szCs w:val="20"/>
              </w:rPr>
              <w:t>the complexities of the program</w:t>
            </w:r>
            <w:r w:rsidR="00720680">
              <w:rPr>
                <w:rFonts w:cs="Arial"/>
                <w:sz w:val="20"/>
                <w:szCs w:val="20"/>
              </w:rPr>
              <w:t xml:space="preserve"> and its financial practices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604557" w:rsidRPr="00BC64BC" w:rsidTr="005A0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" w:type="pct"/>
          <w:trHeight w:val="1133"/>
        </w:trPr>
        <w:tc>
          <w:tcPr>
            <w:tcW w:w="1155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604557" w:rsidRPr="00043032" w:rsidRDefault="005A05B9" w:rsidP="005A05B9">
            <w:pPr>
              <w:pStyle w:val="BodyText"/>
              <w:spacing w:after="0"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Contribute to organisational and development and improvement</w:t>
            </w:r>
          </w:p>
        </w:tc>
        <w:tc>
          <w:tcPr>
            <w:tcW w:w="3841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0E6F24" w:rsidRPr="000E6F24" w:rsidRDefault="000E6F24" w:rsidP="000E6F24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jc w:val="both"/>
              <w:rPr>
                <w:rFonts w:cs="Arial"/>
                <w:sz w:val="20"/>
                <w:szCs w:val="20"/>
              </w:rPr>
            </w:pPr>
            <w:r w:rsidRPr="000E6F24">
              <w:rPr>
                <w:rFonts w:cs="Arial"/>
                <w:sz w:val="20"/>
                <w:szCs w:val="20"/>
              </w:rPr>
              <w:t xml:space="preserve">Works closely with colleagues as part of a team in providing a professional service to meet program and </w:t>
            </w:r>
            <w:r w:rsidR="009421A6">
              <w:rPr>
                <w:rFonts w:cs="Arial"/>
                <w:sz w:val="20"/>
                <w:szCs w:val="20"/>
              </w:rPr>
              <w:t>participant</w:t>
            </w:r>
            <w:r w:rsidRPr="000E6F24">
              <w:rPr>
                <w:rFonts w:cs="Arial"/>
                <w:sz w:val="20"/>
                <w:szCs w:val="20"/>
              </w:rPr>
              <w:t xml:space="preserve"> needs.</w:t>
            </w:r>
          </w:p>
          <w:p w:rsidR="00604557" w:rsidRDefault="00604557" w:rsidP="009E2A76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720680">
              <w:rPr>
                <w:rFonts w:cs="Arial"/>
                <w:color w:val="000000" w:themeColor="text1"/>
                <w:sz w:val="20"/>
                <w:szCs w:val="20"/>
              </w:rPr>
              <w:t xml:space="preserve">Contribute to the development and implementation of flexible, responsive, cost effective and high quality </w:t>
            </w:r>
            <w:r w:rsidR="00720680" w:rsidRPr="00720680">
              <w:rPr>
                <w:rFonts w:cs="Arial"/>
                <w:color w:val="000000" w:themeColor="text1"/>
                <w:sz w:val="20"/>
                <w:szCs w:val="20"/>
              </w:rPr>
              <w:t xml:space="preserve">financial management </w:t>
            </w:r>
            <w:r w:rsidRPr="00720680">
              <w:rPr>
                <w:rFonts w:cs="Arial"/>
                <w:color w:val="000000" w:themeColor="text1"/>
                <w:sz w:val="20"/>
                <w:szCs w:val="20"/>
              </w:rPr>
              <w:t>services</w:t>
            </w:r>
            <w:r w:rsidR="00720680" w:rsidRPr="00720680">
              <w:rPr>
                <w:rFonts w:cs="Arial"/>
                <w:color w:val="000000" w:themeColor="text1"/>
                <w:sz w:val="20"/>
                <w:szCs w:val="20"/>
              </w:rPr>
              <w:t xml:space="preserve"> for the Housing Services function</w:t>
            </w:r>
            <w:r w:rsidRPr="00720680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:rsidR="005A1FD6" w:rsidRDefault="005A1FD6" w:rsidP="009E2A76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Manage</w:t>
            </w:r>
            <w:r w:rsidR="007D4EEC">
              <w:rPr>
                <w:rFonts w:cs="Arial"/>
                <w:sz w:val="20"/>
                <w:szCs w:val="20"/>
              </w:rPr>
              <w:t>, plan</w:t>
            </w:r>
            <w:r>
              <w:rPr>
                <w:rFonts w:cs="Arial"/>
                <w:sz w:val="20"/>
                <w:szCs w:val="20"/>
              </w:rPr>
              <w:t xml:space="preserve"> and negotiate</w:t>
            </w:r>
            <w:r w:rsidR="007D4EE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the effective use of </w:t>
            </w:r>
            <w:r w:rsidR="007D4EEC">
              <w:rPr>
                <w:rFonts w:cs="Arial"/>
                <w:sz w:val="20"/>
                <w:szCs w:val="20"/>
              </w:rPr>
              <w:t>Housing Finance resources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604557" w:rsidRPr="009E2A76" w:rsidRDefault="00604557" w:rsidP="009E2A76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jc w:val="both"/>
              <w:rPr>
                <w:rFonts w:cs="Arial"/>
                <w:sz w:val="20"/>
                <w:szCs w:val="20"/>
              </w:rPr>
            </w:pPr>
            <w:r w:rsidRPr="009E2A76">
              <w:rPr>
                <w:rFonts w:cs="Arial"/>
                <w:sz w:val="20"/>
                <w:szCs w:val="20"/>
              </w:rPr>
              <w:t xml:space="preserve">Participate in the ongoing review of </w:t>
            </w:r>
            <w:r w:rsidR="00720680">
              <w:rPr>
                <w:rFonts w:cs="Arial"/>
                <w:sz w:val="20"/>
                <w:szCs w:val="20"/>
              </w:rPr>
              <w:t>relevant</w:t>
            </w:r>
            <w:r w:rsidRPr="009E2A76">
              <w:rPr>
                <w:rFonts w:cs="Arial"/>
                <w:sz w:val="20"/>
                <w:szCs w:val="20"/>
              </w:rPr>
              <w:t xml:space="preserve"> policies and processes to enable continuous improvement of service delivery and to meet best practice, licensing and accreditation standards</w:t>
            </w:r>
            <w:r w:rsidR="009421A6">
              <w:rPr>
                <w:rFonts w:cs="Arial"/>
                <w:sz w:val="20"/>
                <w:szCs w:val="20"/>
              </w:rPr>
              <w:t>,</w:t>
            </w:r>
            <w:r w:rsidR="005A05B9" w:rsidRPr="009E2A76">
              <w:rPr>
                <w:rFonts w:cs="Arial"/>
                <w:sz w:val="20"/>
                <w:szCs w:val="20"/>
              </w:rPr>
              <w:t xml:space="preserve"> through the Continuous Improvement Group/s</w:t>
            </w:r>
            <w:r w:rsidRPr="009E2A76">
              <w:rPr>
                <w:rFonts w:cs="Arial"/>
                <w:sz w:val="20"/>
                <w:szCs w:val="20"/>
              </w:rPr>
              <w:t>.</w:t>
            </w:r>
          </w:p>
          <w:p w:rsidR="000E6F24" w:rsidRPr="008600C7" w:rsidRDefault="000E6F24" w:rsidP="000E6F24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jc w:val="both"/>
              <w:rPr>
                <w:rFonts w:cs="Arial"/>
                <w:sz w:val="20"/>
                <w:szCs w:val="20"/>
              </w:rPr>
            </w:pPr>
            <w:r w:rsidRPr="008600C7">
              <w:rPr>
                <w:rFonts w:cs="Arial"/>
                <w:sz w:val="20"/>
                <w:szCs w:val="20"/>
              </w:rPr>
              <w:t xml:space="preserve">Ensure that </w:t>
            </w:r>
            <w:r>
              <w:rPr>
                <w:rFonts w:cs="Arial"/>
                <w:sz w:val="20"/>
                <w:szCs w:val="20"/>
              </w:rPr>
              <w:t xml:space="preserve">current </w:t>
            </w:r>
            <w:r w:rsidRPr="008600C7">
              <w:rPr>
                <w:rFonts w:cs="Arial"/>
                <w:sz w:val="20"/>
                <w:szCs w:val="20"/>
              </w:rPr>
              <w:t xml:space="preserve">practices are compliant with </w:t>
            </w:r>
            <w:r>
              <w:rPr>
                <w:rFonts w:cs="Arial"/>
                <w:sz w:val="20"/>
                <w:szCs w:val="20"/>
              </w:rPr>
              <w:t xml:space="preserve">sector </w:t>
            </w:r>
            <w:r w:rsidRPr="008600C7">
              <w:rPr>
                <w:rFonts w:cs="Arial"/>
                <w:sz w:val="20"/>
                <w:szCs w:val="20"/>
              </w:rPr>
              <w:t>standards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604557" w:rsidRPr="00720680" w:rsidRDefault="00604557" w:rsidP="009E2A76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720680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 xml:space="preserve">Train and mentor staff in the application of </w:t>
            </w:r>
            <w:r w:rsidR="00720680" w:rsidRPr="00720680">
              <w:rPr>
                <w:rFonts w:cs="Arial"/>
                <w:color w:val="000000" w:themeColor="text1"/>
                <w:sz w:val="20"/>
                <w:szCs w:val="20"/>
              </w:rPr>
              <w:t xml:space="preserve">relevant </w:t>
            </w:r>
            <w:r w:rsidRPr="00720680">
              <w:rPr>
                <w:rFonts w:cs="Arial"/>
                <w:color w:val="000000" w:themeColor="text1"/>
                <w:sz w:val="20"/>
                <w:szCs w:val="20"/>
              </w:rPr>
              <w:t xml:space="preserve">program </w:t>
            </w:r>
            <w:r w:rsidR="00737AD3" w:rsidRPr="00720680">
              <w:rPr>
                <w:rFonts w:cs="Arial"/>
                <w:color w:val="000000" w:themeColor="text1"/>
                <w:sz w:val="20"/>
                <w:szCs w:val="20"/>
              </w:rPr>
              <w:t xml:space="preserve">financial </w:t>
            </w:r>
            <w:r w:rsidRPr="00720680">
              <w:rPr>
                <w:rFonts w:cs="Arial"/>
                <w:color w:val="000000" w:themeColor="text1"/>
                <w:sz w:val="20"/>
                <w:szCs w:val="20"/>
              </w:rPr>
              <w:t>policies and procedures.</w:t>
            </w:r>
          </w:p>
          <w:p w:rsidR="00604557" w:rsidRPr="009E2A76" w:rsidRDefault="00E12C71" w:rsidP="009E2A76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Develop tools and m</w:t>
            </w:r>
            <w:r w:rsidR="00604557" w:rsidRPr="009E2A76">
              <w:rPr>
                <w:rFonts w:cs="Arial"/>
                <w:sz w:val="20"/>
                <w:szCs w:val="20"/>
              </w:rPr>
              <w:t>aintain program statistic</w:t>
            </w:r>
            <w:r>
              <w:rPr>
                <w:rFonts w:cs="Arial"/>
                <w:sz w:val="20"/>
                <w:szCs w:val="20"/>
              </w:rPr>
              <w:t>al information f</w:t>
            </w:r>
            <w:r w:rsidR="00604557" w:rsidRPr="009E2A76">
              <w:rPr>
                <w:rFonts w:cs="Arial"/>
                <w:sz w:val="20"/>
                <w:szCs w:val="20"/>
              </w:rPr>
              <w:t>or organisational use</w:t>
            </w:r>
            <w:r>
              <w:rPr>
                <w:rFonts w:cs="Arial"/>
                <w:sz w:val="20"/>
                <w:szCs w:val="20"/>
              </w:rPr>
              <w:t xml:space="preserve"> and future planning</w:t>
            </w:r>
            <w:r w:rsidR="00604557" w:rsidRPr="009E2A76">
              <w:rPr>
                <w:rFonts w:cs="Arial"/>
                <w:sz w:val="20"/>
                <w:szCs w:val="20"/>
              </w:rPr>
              <w:t>.</w:t>
            </w:r>
          </w:p>
          <w:p w:rsidR="00604557" w:rsidRPr="009E2A76" w:rsidRDefault="00604557" w:rsidP="009E2A76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jc w:val="both"/>
              <w:rPr>
                <w:rFonts w:cs="Arial"/>
                <w:sz w:val="20"/>
                <w:szCs w:val="20"/>
              </w:rPr>
            </w:pPr>
            <w:r w:rsidRPr="009E2A76">
              <w:rPr>
                <w:rFonts w:cs="Arial"/>
                <w:sz w:val="20"/>
                <w:szCs w:val="20"/>
              </w:rPr>
              <w:t>Contribute to develop and maintain a healthy, creative and supportive working environment.</w:t>
            </w:r>
          </w:p>
          <w:p w:rsidR="00604557" w:rsidRPr="00720680" w:rsidRDefault="00604557" w:rsidP="009E2A76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E2A76">
              <w:rPr>
                <w:rFonts w:cs="Arial"/>
                <w:sz w:val="20"/>
                <w:szCs w:val="20"/>
              </w:rPr>
              <w:t xml:space="preserve">Demonstrate high regard for workplace health </w:t>
            </w:r>
            <w:r w:rsidR="00E12C71">
              <w:rPr>
                <w:rFonts w:cs="Arial"/>
                <w:sz w:val="20"/>
                <w:szCs w:val="20"/>
              </w:rPr>
              <w:t xml:space="preserve">and </w:t>
            </w:r>
            <w:r w:rsidRPr="009E2A76">
              <w:rPr>
                <w:rFonts w:cs="Arial"/>
                <w:sz w:val="20"/>
                <w:szCs w:val="20"/>
              </w:rPr>
              <w:t>safety issues and the physical and emotional wel</w:t>
            </w:r>
            <w:r w:rsidR="00E12C71">
              <w:rPr>
                <w:rFonts w:cs="Arial"/>
                <w:sz w:val="20"/>
                <w:szCs w:val="20"/>
              </w:rPr>
              <w:t>l-</w:t>
            </w:r>
            <w:r w:rsidRPr="009E2A76">
              <w:rPr>
                <w:rFonts w:cs="Arial"/>
                <w:sz w:val="20"/>
                <w:szCs w:val="20"/>
              </w:rPr>
              <w:t xml:space="preserve">being of </w:t>
            </w:r>
            <w:r w:rsidR="00E12C71">
              <w:rPr>
                <w:rFonts w:cs="Arial"/>
                <w:sz w:val="20"/>
                <w:szCs w:val="20"/>
              </w:rPr>
              <w:t>tenants</w:t>
            </w:r>
            <w:r w:rsidRPr="009E2A76">
              <w:rPr>
                <w:rFonts w:cs="Arial"/>
                <w:sz w:val="20"/>
                <w:szCs w:val="20"/>
              </w:rPr>
              <w:t>, co-workers and all visitors of the workplace.</w:t>
            </w:r>
          </w:p>
          <w:p w:rsidR="00720680" w:rsidRPr="00043032" w:rsidRDefault="00720680" w:rsidP="009E2A76">
            <w:pPr>
              <w:widowControl w:val="0"/>
              <w:numPr>
                <w:ilvl w:val="0"/>
                <w:numId w:val="31"/>
              </w:numPr>
              <w:spacing w:line="360" w:lineRule="auto"/>
              <w:ind w:left="417" w:right="136" w:hanging="322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F6A84">
              <w:rPr>
                <w:rFonts w:cs="Arial"/>
                <w:sz w:val="20"/>
                <w:szCs w:val="20"/>
              </w:rPr>
              <w:t>Assist the team in the development and implementation of activities and events to profile the portfolio in the community and in the sector.</w:t>
            </w:r>
          </w:p>
        </w:tc>
      </w:tr>
    </w:tbl>
    <w:p w:rsidR="007C2E30" w:rsidRDefault="007C2E30" w:rsidP="008C447C">
      <w:pPr>
        <w:spacing w:line="360" w:lineRule="auto"/>
        <w:rPr>
          <w:sz w:val="6"/>
          <w:szCs w:val="6"/>
        </w:rPr>
      </w:pPr>
    </w:p>
    <w:p w:rsidR="003D31C4" w:rsidRDefault="003D31C4" w:rsidP="008C447C">
      <w:pPr>
        <w:spacing w:line="360" w:lineRule="auto"/>
        <w:rPr>
          <w:sz w:val="6"/>
          <w:szCs w:val="6"/>
        </w:rPr>
      </w:pPr>
    </w:p>
    <w:p w:rsidR="001E01F8" w:rsidRPr="00DB348D" w:rsidRDefault="001E01F8" w:rsidP="001E01F8">
      <w:pPr>
        <w:pStyle w:val="IntenseQuote"/>
        <w:spacing w:before="0" w:after="0" w:line="360" w:lineRule="auto"/>
        <w:ind w:left="0" w:right="-1"/>
        <w:rPr>
          <w:rFonts w:cs="Arial"/>
          <w:color w:val="BF311A"/>
          <w:sz w:val="20"/>
          <w:szCs w:val="20"/>
        </w:rPr>
      </w:pPr>
      <w:r>
        <w:rPr>
          <w:rFonts w:cs="Arial"/>
          <w:color w:val="BF311A"/>
          <w:sz w:val="20"/>
          <w:szCs w:val="20"/>
        </w:rPr>
        <w:t>SELECTION CRITERIA</w:t>
      </w:r>
    </w:p>
    <w:p w:rsidR="001E01F8" w:rsidRPr="00374D3B" w:rsidRDefault="001E01F8" w:rsidP="001E01F8">
      <w:pPr>
        <w:pStyle w:val="listheading"/>
        <w:spacing w:after="0" w:line="360" w:lineRule="auto"/>
        <w:jc w:val="both"/>
        <w:rPr>
          <w:rFonts w:ascii="Arial" w:hAnsi="Arial" w:cs="Arial"/>
          <w:b w:val="0"/>
          <w:sz w:val="10"/>
          <w:szCs w:val="10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1E01F8" w:rsidRPr="00A607CF" w:rsidTr="00624237">
        <w:trPr>
          <w:cantSplit/>
          <w:trHeight w:val="453"/>
        </w:trPr>
        <w:tc>
          <w:tcPr>
            <w:tcW w:w="9781" w:type="dxa"/>
            <w:vAlign w:val="center"/>
          </w:tcPr>
          <w:p w:rsidR="001E01F8" w:rsidRPr="00EE1CBC" w:rsidRDefault="001E01F8" w:rsidP="0062423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EE1CBC">
              <w:rPr>
                <w:rFonts w:cs="Arial"/>
                <w:b/>
                <w:sz w:val="20"/>
                <w:szCs w:val="20"/>
              </w:rPr>
              <w:t>Mandatory Requirement/s:</w:t>
            </w:r>
          </w:p>
          <w:p w:rsidR="001E01F8" w:rsidRDefault="001E01F8" w:rsidP="001F6A84">
            <w:pPr>
              <w:numPr>
                <w:ilvl w:val="0"/>
                <w:numId w:val="27"/>
              </w:numPr>
              <w:spacing w:line="360" w:lineRule="auto"/>
              <w:ind w:left="426" w:hanging="426"/>
              <w:jc w:val="both"/>
              <w:rPr>
                <w:rFonts w:cs="Arial"/>
                <w:sz w:val="20"/>
                <w:szCs w:val="20"/>
              </w:rPr>
            </w:pPr>
            <w:r w:rsidRPr="00696E03">
              <w:rPr>
                <w:rFonts w:cs="Arial"/>
                <w:sz w:val="20"/>
                <w:szCs w:val="20"/>
              </w:rPr>
              <w:t xml:space="preserve">A </w:t>
            </w:r>
            <w:r>
              <w:rPr>
                <w:rFonts w:cs="Arial"/>
                <w:sz w:val="20"/>
                <w:szCs w:val="20"/>
              </w:rPr>
              <w:t xml:space="preserve">relevant </w:t>
            </w:r>
            <w:r w:rsidR="00F373B7" w:rsidRPr="001F6A84">
              <w:rPr>
                <w:rFonts w:cs="Arial"/>
                <w:sz w:val="20"/>
                <w:szCs w:val="20"/>
              </w:rPr>
              <w:t xml:space="preserve">qualification </w:t>
            </w:r>
            <w:r w:rsidRPr="00696E03">
              <w:rPr>
                <w:rFonts w:cs="Arial"/>
                <w:sz w:val="20"/>
                <w:szCs w:val="20"/>
              </w:rPr>
              <w:t xml:space="preserve">in </w:t>
            </w:r>
            <w:r>
              <w:rPr>
                <w:rFonts w:cs="Arial"/>
                <w:sz w:val="20"/>
                <w:szCs w:val="20"/>
              </w:rPr>
              <w:t xml:space="preserve">financial management/accounting (or related discipline) </w:t>
            </w:r>
            <w:r w:rsidR="00AF3FFE" w:rsidRPr="00AF3FFE">
              <w:rPr>
                <w:rFonts w:cs="Arial"/>
                <w:b/>
                <w:sz w:val="20"/>
                <w:szCs w:val="20"/>
              </w:rPr>
              <w:t>and/</w:t>
            </w:r>
            <w:r w:rsidR="001F6A84" w:rsidRPr="00AF3FFE">
              <w:rPr>
                <w:rFonts w:cs="Arial"/>
                <w:b/>
                <w:sz w:val="20"/>
                <w:szCs w:val="20"/>
              </w:rPr>
              <w:t>or</w:t>
            </w:r>
            <w:r w:rsidR="001F6A8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 equivalent combination of education, training and a minimum of 4-years relevant experience.</w:t>
            </w:r>
          </w:p>
          <w:p w:rsidR="001E01F8" w:rsidRDefault="001E01F8" w:rsidP="0062423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1E01F8" w:rsidRPr="00EE1CBC" w:rsidRDefault="001E01F8" w:rsidP="0062423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EE1CBC">
              <w:rPr>
                <w:rFonts w:cs="Arial"/>
                <w:b/>
                <w:sz w:val="20"/>
                <w:szCs w:val="20"/>
              </w:rPr>
              <w:t>Selection Criteria:</w:t>
            </w:r>
          </w:p>
          <w:p w:rsidR="00D407B8" w:rsidRPr="00DE44BE" w:rsidRDefault="00D407B8" w:rsidP="001E01F8">
            <w:pPr>
              <w:numPr>
                <w:ilvl w:val="0"/>
                <w:numId w:val="36"/>
              </w:num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E44BE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Strong financial </w:t>
            </w:r>
            <w:r w:rsidR="00720680" w:rsidRPr="00DE44BE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analysis </w:t>
            </w:r>
            <w:r w:rsidRPr="00DE44BE">
              <w:rPr>
                <w:rFonts w:cs="Arial"/>
                <w:bCs/>
                <w:color w:val="000000" w:themeColor="text1"/>
                <w:sz w:val="20"/>
                <w:szCs w:val="20"/>
              </w:rPr>
              <w:t>capability (</w:t>
            </w:r>
            <w:r w:rsidR="001F6A84" w:rsidRPr="00DE44BE">
              <w:rPr>
                <w:rFonts w:cs="Arial"/>
                <w:bCs/>
                <w:color w:val="000000" w:themeColor="text1"/>
                <w:sz w:val="20"/>
                <w:szCs w:val="20"/>
              </w:rPr>
              <w:t>with a focus on community housing functions</w:t>
            </w:r>
            <w:r w:rsidRPr="00DE44BE">
              <w:rPr>
                <w:rFonts w:cs="Arial"/>
                <w:bCs/>
                <w:color w:val="000000" w:themeColor="text1"/>
                <w:sz w:val="20"/>
                <w:szCs w:val="20"/>
              </w:rPr>
              <w:t>), including a commitment to producing consistently good financial results within the framework of program and achieving program growth.</w:t>
            </w:r>
          </w:p>
          <w:p w:rsidR="001E01F8" w:rsidRPr="00A607CF" w:rsidRDefault="001E01F8" w:rsidP="001E01F8">
            <w:pPr>
              <w:numPr>
                <w:ilvl w:val="0"/>
                <w:numId w:val="36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Demonstrated ability to apply principles of logical thinking to define problems, collect pertinent data, establish the facts, draw valid conclusions and initiate an appropriate course of action.</w:t>
            </w:r>
          </w:p>
          <w:p w:rsidR="001E01F8" w:rsidRPr="00A607CF" w:rsidRDefault="001E01F8" w:rsidP="001E01F8">
            <w:pPr>
              <w:numPr>
                <w:ilvl w:val="0"/>
                <w:numId w:val="36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 w:rsidRPr="00A607CF">
              <w:rPr>
                <w:rFonts w:cs="Arial"/>
                <w:sz w:val="20"/>
                <w:szCs w:val="20"/>
              </w:rPr>
              <w:t>A</w:t>
            </w:r>
            <w:r w:rsidR="00E12C71">
              <w:rPr>
                <w:rFonts w:cs="Arial"/>
                <w:sz w:val="20"/>
                <w:szCs w:val="20"/>
              </w:rPr>
              <w:t xml:space="preserve"> demonstrated</w:t>
            </w:r>
            <w:r w:rsidRPr="00A607CF">
              <w:rPr>
                <w:rFonts w:cs="Arial"/>
                <w:sz w:val="20"/>
                <w:szCs w:val="20"/>
              </w:rPr>
              <w:t xml:space="preserve"> knowledge of legislations, regulations and framework</w:t>
            </w:r>
            <w:r w:rsidR="00720680">
              <w:rPr>
                <w:rFonts w:cs="Arial"/>
                <w:sz w:val="20"/>
                <w:szCs w:val="20"/>
              </w:rPr>
              <w:t>s</w:t>
            </w:r>
            <w:r w:rsidRPr="00A607CF">
              <w:rPr>
                <w:rFonts w:cs="Arial"/>
                <w:sz w:val="20"/>
                <w:szCs w:val="20"/>
              </w:rPr>
              <w:t xml:space="preserve"> applicable to </w:t>
            </w:r>
            <w:r w:rsidR="00E12C71">
              <w:rPr>
                <w:rFonts w:cs="Arial"/>
                <w:sz w:val="20"/>
                <w:szCs w:val="20"/>
              </w:rPr>
              <w:t xml:space="preserve">financial management, preferably </w:t>
            </w:r>
            <w:r>
              <w:rPr>
                <w:rFonts w:cs="Arial"/>
                <w:sz w:val="20"/>
                <w:szCs w:val="20"/>
              </w:rPr>
              <w:t>within the</w:t>
            </w:r>
            <w:r w:rsidRPr="00A607CF">
              <w:rPr>
                <w:rFonts w:cs="Arial"/>
                <w:sz w:val="20"/>
                <w:szCs w:val="20"/>
              </w:rPr>
              <w:t xml:space="preserve"> community housing sector.</w:t>
            </w:r>
          </w:p>
          <w:p w:rsidR="001E01F8" w:rsidRPr="00065C99" w:rsidRDefault="001E01F8" w:rsidP="001E01F8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065C99">
              <w:rPr>
                <w:rFonts w:cs="Arial"/>
                <w:sz w:val="20"/>
                <w:szCs w:val="20"/>
              </w:rPr>
              <w:t>A high degree of drive, initiative, motivation and outcome orientation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1E01F8" w:rsidRPr="00D407B8" w:rsidRDefault="001E01F8" w:rsidP="00D407B8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065C99">
              <w:rPr>
                <w:rFonts w:cs="Arial"/>
                <w:sz w:val="20"/>
                <w:szCs w:val="20"/>
              </w:rPr>
              <w:t>Effective written and verbal communication skills with the ability to build and maintain effective internal/ external relationships and to share specialist knowledge and technical skills within a team environment</w:t>
            </w:r>
            <w:r w:rsidR="001F6A84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1E01F8" w:rsidRDefault="001E01F8" w:rsidP="001E01F8">
      <w:pPr>
        <w:spacing w:line="360" w:lineRule="auto"/>
        <w:rPr>
          <w:sz w:val="6"/>
          <w:szCs w:val="6"/>
        </w:rPr>
      </w:pPr>
    </w:p>
    <w:p w:rsidR="001E01F8" w:rsidRPr="00DB348D" w:rsidRDefault="001E01F8" w:rsidP="001E01F8">
      <w:pPr>
        <w:pStyle w:val="IntenseQuote"/>
        <w:spacing w:before="0" w:after="0" w:line="360" w:lineRule="auto"/>
        <w:ind w:left="0" w:right="-1"/>
        <w:rPr>
          <w:rFonts w:cs="Arial"/>
          <w:color w:val="BF311A"/>
          <w:sz w:val="20"/>
          <w:szCs w:val="20"/>
        </w:rPr>
      </w:pPr>
      <w:r>
        <w:rPr>
          <w:rFonts w:cs="Arial"/>
          <w:color w:val="BF311A"/>
          <w:sz w:val="20"/>
          <w:szCs w:val="20"/>
        </w:rPr>
        <w:t>OTHER REQUIREMENTS</w:t>
      </w:r>
    </w:p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1E01F8" w:rsidTr="00AF3FFE">
        <w:trPr>
          <w:cantSplit/>
          <w:trHeight w:val="345"/>
        </w:trPr>
        <w:tc>
          <w:tcPr>
            <w:tcW w:w="9781" w:type="dxa"/>
            <w:vAlign w:val="center"/>
          </w:tcPr>
          <w:p w:rsidR="001E01F8" w:rsidRPr="0097583B" w:rsidRDefault="001E01F8" w:rsidP="00624237">
            <w:pPr>
              <w:pStyle w:val="ListParagraph"/>
              <w:spacing w:line="360" w:lineRule="auto"/>
              <w:ind w:left="0" w:right="60"/>
              <w:jc w:val="both"/>
              <w:rPr>
                <w:rFonts w:cs="Arial"/>
                <w:sz w:val="10"/>
                <w:szCs w:val="10"/>
              </w:rPr>
            </w:pPr>
          </w:p>
          <w:p w:rsidR="001E01F8" w:rsidRPr="00B22DBF" w:rsidRDefault="001E01F8" w:rsidP="00624237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176" w:hanging="357"/>
              <w:jc w:val="both"/>
              <w:rPr>
                <w:rFonts w:cs="Arial"/>
                <w:sz w:val="20"/>
                <w:szCs w:val="20"/>
              </w:rPr>
            </w:pPr>
            <w:r w:rsidRPr="00B22DBF">
              <w:rPr>
                <w:rFonts w:cs="Arial"/>
                <w:sz w:val="20"/>
                <w:szCs w:val="20"/>
              </w:rPr>
              <w:t>Must hold a current Queensland Open Driver’s licence or licence recognised by Australian laws</w:t>
            </w:r>
          </w:p>
          <w:p w:rsidR="001E01F8" w:rsidRPr="00B22DBF" w:rsidRDefault="001E01F8" w:rsidP="00624237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176" w:hanging="357"/>
              <w:jc w:val="both"/>
              <w:rPr>
                <w:rFonts w:cs="Arial"/>
                <w:sz w:val="20"/>
                <w:szCs w:val="20"/>
              </w:rPr>
            </w:pPr>
            <w:r w:rsidRPr="00B22DBF">
              <w:rPr>
                <w:rFonts w:cs="Arial"/>
                <w:sz w:val="20"/>
                <w:szCs w:val="20"/>
              </w:rPr>
              <w:t>Must have proof of current eligibility to work in Australia (visa holders)</w:t>
            </w:r>
          </w:p>
          <w:p w:rsidR="001E01F8" w:rsidRPr="00B22DBF" w:rsidRDefault="001E01F8" w:rsidP="00624237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176" w:hanging="357"/>
              <w:jc w:val="both"/>
              <w:rPr>
                <w:sz w:val="20"/>
                <w:szCs w:val="20"/>
              </w:rPr>
            </w:pPr>
            <w:r w:rsidRPr="00B22DBF">
              <w:rPr>
                <w:rFonts w:cs="Arial"/>
                <w:sz w:val="20"/>
                <w:szCs w:val="20"/>
              </w:rPr>
              <w:t xml:space="preserve">Successful completion of a six (6) month minimum </w:t>
            </w:r>
            <w:r w:rsidRPr="00B22DBF">
              <w:rPr>
                <w:rFonts w:cs="Arial"/>
                <w:color w:val="000000"/>
                <w:sz w:val="20"/>
                <w:szCs w:val="20"/>
              </w:rPr>
              <w:t>employment period (probation) in accordance</w:t>
            </w:r>
            <w:r w:rsidRPr="00B22DBF">
              <w:rPr>
                <w:rFonts w:cs="Arial"/>
                <w:sz w:val="20"/>
                <w:szCs w:val="20"/>
              </w:rPr>
              <w:t xml:space="preserve"> with AnglicareCQ’s policies and procedures</w:t>
            </w:r>
          </w:p>
          <w:p w:rsidR="001E01F8" w:rsidRPr="00B22DBF" w:rsidRDefault="001E01F8" w:rsidP="00624237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176" w:hanging="357"/>
              <w:jc w:val="both"/>
              <w:rPr>
                <w:sz w:val="20"/>
                <w:szCs w:val="20"/>
              </w:rPr>
            </w:pPr>
            <w:r w:rsidRPr="00B22DBF">
              <w:rPr>
                <w:sz w:val="20"/>
                <w:szCs w:val="20"/>
              </w:rPr>
              <w:t>Any employment ‘suitability checks’ (as required for the position).</w:t>
            </w:r>
          </w:p>
          <w:p w:rsidR="001E01F8" w:rsidRPr="00604F53" w:rsidRDefault="001F6A84" w:rsidP="00604F53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176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travel</w:t>
            </w:r>
          </w:p>
        </w:tc>
      </w:tr>
    </w:tbl>
    <w:p w:rsidR="001E01F8" w:rsidRDefault="001E01F8" w:rsidP="008C447C">
      <w:pPr>
        <w:spacing w:line="360" w:lineRule="auto"/>
        <w:rPr>
          <w:sz w:val="6"/>
          <w:szCs w:val="6"/>
        </w:rPr>
      </w:pPr>
    </w:p>
    <w:sectPr w:rsidR="001E01F8" w:rsidSect="008C447C">
      <w:headerReference w:type="default" r:id="rId8"/>
      <w:footerReference w:type="default" r:id="rId9"/>
      <w:pgSz w:w="11906" w:h="16838"/>
      <w:pgMar w:top="1383" w:right="1134" w:bottom="1134" w:left="113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4BE" w:rsidRDefault="00DE44BE" w:rsidP="00E72D99">
      <w:pPr>
        <w:spacing w:line="240" w:lineRule="auto"/>
      </w:pPr>
      <w:r>
        <w:separator/>
      </w:r>
    </w:p>
  </w:endnote>
  <w:endnote w:type="continuationSeparator" w:id="0">
    <w:p w:rsidR="00DE44BE" w:rsidRDefault="00DE44BE" w:rsidP="00E72D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4BE" w:rsidRPr="00D76994" w:rsidRDefault="00DE44BE" w:rsidP="00A71DB6">
    <w:pPr>
      <w:pStyle w:val="Footer"/>
      <w:jc w:val="right"/>
      <w:rPr>
        <w:sz w:val="18"/>
        <w:szCs w:val="18"/>
      </w:rPr>
    </w:pPr>
    <w:r w:rsidRPr="00D76994">
      <w:rPr>
        <w:sz w:val="18"/>
        <w:szCs w:val="18"/>
      </w:rPr>
      <w:t xml:space="preserve">Page | </w:t>
    </w:r>
    <w:r w:rsidR="00E1031C" w:rsidRPr="00D76994">
      <w:rPr>
        <w:sz w:val="18"/>
        <w:szCs w:val="18"/>
      </w:rPr>
      <w:fldChar w:fldCharType="begin"/>
    </w:r>
    <w:r w:rsidRPr="00D76994">
      <w:rPr>
        <w:sz w:val="18"/>
        <w:szCs w:val="18"/>
      </w:rPr>
      <w:instrText xml:space="preserve"> PAGE   \* MERGEFORMAT </w:instrText>
    </w:r>
    <w:r w:rsidR="00E1031C" w:rsidRPr="00D76994">
      <w:rPr>
        <w:sz w:val="18"/>
        <w:szCs w:val="18"/>
      </w:rPr>
      <w:fldChar w:fldCharType="separate"/>
    </w:r>
    <w:r w:rsidR="005E7D8E">
      <w:rPr>
        <w:noProof/>
        <w:sz w:val="18"/>
        <w:szCs w:val="18"/>
      </w:rPr>
      <w:t>1</w:t>
    </w:r>
    <w:r w:rsidR="00E1031C" w:rsidRPr="00D76994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4BE" w:rsidRDefault="00DE44BE" w:rsidP="00E72D99">
      <w:pPr>
        <w:spacing w:line="240" w:lineRule="auto"/>
      </w:pPr>
      <w:r>
        <w:separator/>
      </w:r>
    </w:p>
  </w:footnote>
  <w:footnote w:type="continuationSeparator" w:id="0">
    <w:p w:rsidR="00DE44BE" w:rsidRDefault="00DE44BE" w:rsidP="00E72D9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4BE" w:rsidRDefault="00DE44BE" w:rsidP="0010035B">
    <w:pPr>
      <w:pStyle w:val="Header"/>
      <w:tabs>
        <w:tab w:val="clear" w:pos="4513"/>
        <w:tab w:val="clear" w:pos="9026"/>
        <w:tab w:val="right" w:pos="9639"/>
      </w:tabs>
      <w:ind w:left="-1134" w:right="-143"/>
      <w:rPr>
        <w:color w:val="FFFFFF"/>
      </w:rPr>
    </w:pPr>
    <w:r>
      <w:rPr>
        <w:color w:val="FFFFFF"/>
      </w:rPr>
      <w:tab/>
    </w:r>
  </w:p>
  <w:p w:rsidR="00DE44BE" w:rsidRDefault="00DE44BE" w:rsidP="00E908C9">
    <w:pPr>
      <w:pStyle w:val="Header"/>
      <w:shd w:val="clear" w:color="auto" w:fill="133D8D"/>
      <w:tabs>
        <w:tab w:val="clear" w:pos="4513"/>
        <w:tab w:val="clear" w:pos="9026"/>
        <w:tab w:val="right" w:pos="8931"/>
        <w:tab w:val="right" w:pos="9639"/>
      </w:tabs>
      <w:ind w:left="-1134" w:right="-1134"/>
      <w:rPr>
        <w:color w:val="FFFFFF"/>
      </w:rPr>
    </w:pPr>
    <w:r>
      <w:rPr>
        <w:noProof/>
        <w:color w:val="FFFFFF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-113665</wp:posOffset>
          </wp:positionH>
          <wp:positionV relativeFrom="paragraph">
            <wp:posOffset>29210</wp:posOffset>
          </wp:positionV>
          <wp:extent cx="1471295" cy="409575"/>
          <wp:effectExtent l="19050" t="0" r="0" b="0"/>
          <wp:wrapThrough wrapText="bothSides">
            <wp:wrapPolygon edited="0">
              <wp:start x="2517" y="0"/>
              <wp:lineTo x="280" y="9042"/>
              <wp:lineTo x="-280" y="18084"/>
              <wp:lineTo x="5034" y="21098"/>
              <wp:lineTo x="7551" y="21098"/>
              <wp:lineTo x="20696" y="21098"/>
              <wp:lineTo x="21255" y="17079"/>
              <wp:lineTo x="21255" y="16074"/>
              <wp:lineTo x="21535" y="4019"/>
              <wp:lineTo x="4754" y="0"/>
              <wp:lineTo x="2517" y="0"/>
            </wp:wrapPolygon>
          </wp:wrapThrough>
          <wp:docPr id="1" name="Picture 0" descr="AnglicareCQ-reverse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nglicareCQ-reverse whi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44BE" w:rsidRPr="00D63793" w:rsidRDefault="00DE44BE" w:rsidP="00E908C9">
    <w:pPr>
      <w:pStyle w:val="Header"/>
      <w:shd w:val="clear" w:color="auto" w:fill="133D8D"/>
      <w:tabs>
        <w:tab w:val="clear" w:pos="4513"/>
        <w:tab w:val="clear" w:pos="9026"/>
        <w:tab w:val="right" w:pos="9639"/>
      </w:tabs>
      <w:ind w:left="-1134" w:right="-1134"/>
      <w:rPr>
        <w:b/>
        <w:color w:val="FFFFFF"/>
        <w:sz w:val="24"/>
      </w:rPr>
    </w:pPr>
    <w:r w:rsidRPr="00D63793">
      <w:rPr>
        <w:b/>
        <w:color w:val="FFFFFF"/>
      </w:rPr>
      <w:tab/>
    </w:r>
    <w:r>
      <w:rPr>
        <w:b/>
        <w:color w:val="FFFFFF"/>
        <w:sz w:val="28"/>
      </w:rPr>
      <w:t>PRINCIPAL HOUSING FINANCE OFFICER</w:t>
    </w:r>
  </w:p>
  <w:p w:rsidR="00DE44BE" w:rsidRPr="00E72D99" w:rsidRDefault="00DE44BE" w:rsidP="00E908C9">
    <w:pPr>
      <w:pStyle w:val="Header"/>
      <w:shd w:val="clear" w:color="auto" w:fill="BF311A"/>
      <w:tabs>
        <w:tab w:val="clear" w:pos="4513"/>
        <w:tab w:val="clear" w:pos="9026"/>
        <w:tab w:val="right" w:pos="9639"/>
      </w:tabs>
      <w:ind w:left="-1134" w:right="-1134"/>
      <w:rPr>
        <w:color w:val="FFFFFF"/>
      </w:rPr>
    </w:pPr>
    <w:r w:rsidRPr="00D63793">
      <w:rPr>
        <w:color w:val="FFFFFF"/>
        <w:sz w:val="24"/>
      </w:rPr>
      <w:tab/>
      <w:t>Position Description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3FD"/>
    <w:multiLevelType w:val="hybridMultilevel"/>
    <w:tmpl w:val="FF4CB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F4F16"/>
    <w:multiLevelType w:val="hybridMultilevel"/>
    <w:tmpl w:val="9DFE88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87317"/>
    <w:multiLevelType w:val="hybridMultilevel"/>
    <w:tmpl w:val="0F904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D454B"/>
    <w:multiLevelType w:val="hybridMultilevel"/>
    <w:tmpl w:val="338A8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63481"/>
    <w:multiLevelType w:val="hybridMultilevel"/>
    <w:tmpl w:val="E1CE55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7B09E0"/>
    <w:multiLevelType w:val="hybridMultilevel"/>
    <w:tmpl w:val="2E12B4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8553BD2"/>
    <w:multiLevelType w:val="multilevel"/>
    <w:tmpl w:val="F5AC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A4EE5"/>
    <w:multiLevelType w:val="hybridMultilevel"/>
    <w:tmpl w:val="B84CAC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ED502B"/>
    <w:multiLevelType w:val="hybridMultilevel"/>
    <w:tmpl w:val="8528B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61872"/>
    <w:multiLevelType w:val="hybridMultilevel"/>
    <w:tmpl w:val="1340C7B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D8570B"/>
    <w:multiLevelType w:val="hybridMultilevel"/>
    <w:tmpl w:val="2B5CE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A1F42"/>
    <w:multiLevelType w:val="hybridMultilevel"/>
    <w:tmpl w:val="55F65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10FB1"/>
    <w:multiLevelType w:val="hybridMultilevel"/>
    <w:tmpl w:val="0AB649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B347CA"/>
    <w:multiLevelType w:val="hybridMultilevel"/>
    <w:tmpl w:val="F6EA365E"/>
    <w:lvl w:ilvl="0" w:tplc="1B9ECB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B351A7"/>
    <w:multiLevelType w:val="hybridMultilevel"/>
    <w:tmpl w:val="27AC612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AA2D2F"/>
    <w:multiLevelType w:val="hybridMultilevel"/>
    <w:tmpl w:val="4A5E6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664A9"/>
    <w:multiLevelType w:val="hybridMultilevel"/>
    <w:tmpl w:val="F036F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F2313"/>
    <w:multiLevelType w:val="hybridMultilevel"/>
    <w:tmpl w:val="820EB7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050BAB"/>
    <w:multiLevelType w:val="hybridMultilevel"/>
    <w:tmpl w:val="A4386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C7E8F"/>
    <w:multiLevelType w:val="hybridMultilevel"/>
    <w:tmpl w:val="93580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358F1"/>
    <w:multiLevelType w:val="hybridMultilevel"/>
    <w:tmpl w:val="F5DA741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AA03D4"/>
    <w:multiLevelType w:val="hybridMultilevel"/>
    <w:tmpl w:val="25B84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D2273"/>
    <w:multiLevelType w:val="hybridMultilevel"/>
    <w:tmpl w:val="8B0E3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E0D06"/>
    <w:multiLevelType w:val="hybridMultilevel"/>
    <w:tmpl w:val="93E890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4186C"/>
    <w:multiLevelType w:val="hybridMultilevel"/>
    <w:tmpl w:val="2C1ECA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E76217"/>
    <w:multiLevelType w:val="hybridMultilevel"/>
    <w:tmpl w:val="C45448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07550"/>
    <w:multiLevelType w:val="hybridMultilevel"/>
    <w:tmpl w:val="924AC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B4CEC"/>
    <w:multiLevelType w:val="hybridMultilevel"/>
    <w:tmpl w:val="D1F40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FA4ECB"/>
    <w:multiLevelType w:val="hybridMultilevel"/>
    <w:tmpl w:val="2118D7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F97F83"/>
    <w:multiLevelType w:val="hybridMultilevel"/>
    <w:tmpl w:val="28243E1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AE0AC8"/>
    <w:multiLevelType w:val="hybridMultilevel"/>
    <w:tmpl w:val="8738F772"/>
    <w:lvl w:ilvl="0" w:tplc="0C090001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24195F"/>
    <w:multiLevelType w:val="hybridMultilevel"/>
    <w:tmpl w:val="17626E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341F0B"/>
    <w:multiLevelType w:val="hybridMultilevel"/>
    <w:tmpl w:val="5BE852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F57716"/>
    <w:multiLevelType w:val="hybridMultilevel"/>
    <w:tmpl w:val="ABE61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927B2"/>
    <w:multiLevelType w:val="hybridMultilevel"/>
    <w:tmpl w:val="4288C4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CC4998"/>
    <w:multiLevelType w:val="hybridMultilevel"/>
    <w:tmpl w:val="2AC8C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5"/>
  </w:num>
  <w:num w:numId="6">
    <w:abstractNumId w:val="7"/>
  </w:num>
  <w:num w:numId="7">
    <w:abstractNumId w:val="15"/>
  </w:num>
  <w:num w:numId="8">
    <w:abstractNumId w:val="19"/>
  </w:num>
  <w:num w:numId="9">
    <w:abstractNumId w:val="14"/>
  </w:num>
  <w:num w:numId="10">
    <w:abstractNumId w:val="29"/>
  </w:num>
  <w:num w:numId="11">
    <w:abstractNumId w:val="17"/>
  </w:num>
  <w:num w:numId="12">
    <w:abstractNumId w:val="34"/>
  </w:num>
  <w:num w:numId="13">
    <w:abstractNumId w:val="28"/>
  </w:num>
  <w:num w:numId="14">
    <w:abstractNumId w:val="24"/>
  </w:num>
  <w:num w:numId="15">
    <w:abstractNumId w:val="4"/>
  </w:num>
  <w:num w:numId="16">
    <w:abstractNumId w:val="18"/>
  </w:num>
  <w:num w:numId="17">
    <w:abstractNumId w:val="6"/>
  </w:num>
  <w:num w:numId="18">
    <w:abstractNumId w:val="20"/>
  </w:num>
  <w:num w:numId="19">
    <w:abstractNumId w:val="33"/>
  </w:num>
  <w:num w:numId="20">
    <w:abstractNumId w:val="21"/>
  </w:num>
  <w:num w:numId="21">
    <w:abstractNumId w:val="10"/>
  </w:num>
  <w:num w:numId="22">
    <w:abstractNumId w:val="16"/>
  </w:num>
  <w:num w:numId="23">
    <w:abstractNumId w:val="1"/>
  </w:num>
  <w:num w:numId="24">
    <w:abstractNumId w:val="11"/>
  </w:num>
  <w:num w:numId="25">
    <w:abstractNumId w:val="26"/>
  </w:num>
  <w:num w:numId="26">
    <w:abstractNumId w:val="22"/>
  </w:num>
  <w:num w:numId="27">
    <w:abstractNumId w:val="35"/>
  </w:num>
  <w:num w:numId="28">
    <w:abstractNumId w:val="3"/>
  </w:num>
  <w:num w:numId="29">
    <w:abstractNumId w:val="2"/>
  </w:num>
  <w:num w:numId="30">
    <w:abstractNumId w:val="0"/>
  </w:num>
  <w:num w:numId="31">
    <w:abstractNumId w:val="12"/>
  </w:num>
  <w:num w:numId="32">
    <w:abstractNumId w:val="27"/>
  </w:num>
  <w:num w:numId="33">
    <w:abstractNumId w:val="31"/>
  </w:num>
  <w:num w:numId="34">
    <w:abstractNumId w:val="5"/>
  </w:num>
  <w:num w:numId="35">
    <w:abstractNumId w:val="32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AF58EA"/>
    <w:rsid w:val="00000B2B"/>
    <w:rsid w:val="00004880"/>
    <w:rsid w:val="00004973"/>
    <w:rsid w:val="00011CDD"/>
    <w:rsid w:val="000164E5"/>
    <w:rsid w:val="0002455D"/>
    <w:rsid w:val="00041215"/>
    <w:rsid w:val="0004175C"/>
    <w:rsid w:val="00050185"/>
    <w:rsid w:val="00061748"/>
    <w:rsid w:val="00061A86"/>
    <w:rsid w:val="00061F85"/>
    <w:rsid w:val="0007117E"/>
    <w:rsid w:val="000711B2"/>
    <w:rsid w:val="00077537"/>
    <w:rsid w:val="00082E2D"/>
    <w:rsid w:val="000848B1"/>
    <w:rsid w:val="0008704E"/>
    <w:rsid w:val="00087130"/>
    <w:rsid w:val="0008783A"/>
    <w:rsid w:val="00093FB4"/>
    <w:rsid w:val="000963DE"/>
    <w:rsid w:val="0009734F"/>
    <w:rsid w:val="000A052D"/>
    <w:rsid w:val="000A5189"/>
    <w:rsid w:val="000A7050"/>
    <w:rsid w:val="000C2EFA"/>
    <w:rsid w:val="000C48E1"/>
    <w:rsid w:val="000D363F"/>
    <w:rsid w:val="000E03B8"/>
    <w:rsid w:val="000E2F3E"/>
    <w:rsid w:val="000E5DE5"/>
    <w:rsid w:val="000E6F24"/>
    <w:rsid w:val="000F0B33"/>
    <w:rsid w:val="0010035B"/>
    <w:rsid w:val="001027CE"/>
    <w:rsid w:val="001051C5"/>
    <w:rsid w:val="00116491"/>
    <w:rsid w:val="00121D79"/>
    <w:rsid w:val="00131CC9"/>
    <w:rsid w:val="001325E9"/>
    <w:rsid w:val="0013334B"/>
    <w:rsid w:val="001464D4"/>
    <w:rsid w:val="0015126B"/>
    <w:rsid w:val="0015522F"/>
    <w:rsid w:val="00156876"/>
    <w:rsid w:val="00166255"/>
    <w:rsid w:val="00175163"/>
    <w:rsid w:val="001803E6"/>
    <w:rsid w:val="00182B2F"/>
    <w:rsid w:val="00182BB0"/>
    <w:rsid w:val="0018669C"/>
    <w:rsid w:val="001935A2"/>
    <w:rsid w:val="001A53B3"/>
    <w:rsid w:val="001A6449"/>
    <w:rsid w:val="001B11C1"/>
    <w:rsid w:val="001B2B3B"/>
    <w:rsid w:val="001B4D8F"/>
    <w:rsid w:val="001C5578"/>
    <w:rsid w:val="001C5F98"/>
    <w:rsid w:val="001D111B"/>
    <w:rsid w:val="001E01F8"/>
    <w:rsid w:val="001E2647"/>
    <w:rsid w:val="001E7282"/>
    <w:rsid w:val="001F6A84"/>
    <w:rsid w:val="00206200"/>
    <w:rsid w:val="00211838"/>
    <w:rsid w:val="00212158"/>
    <w:rsid w:val="0022135D"/>
    <w:rsid w:val="0022374F"/>
    <w:rsid w:val="002238AD"/>
    <w:rsid w:val="00223AB4"/>
    <w:rsid w:val="00234791"/>
    <w:rsid w:val="00236CB1"/>
    <w:rsid w:val="00237D09"/>
    <w:rsid w:val="002453FC"/>
    <w:rsid w:val="00246326"/>
    <w:rsid w:val="00254935"/>
    <w:rsid w:val="0025668A"/>
    <w:rsid w:val="00261A9F"/>
    <w:rsid w:val="002631FC"/>
    <w:rsid w:val="002664BF"/>
    <w:rsid w:val="00266FE5"/>
    <w:rsid w:val="0026717A"/>
    <w:rsid w:val="00273A3B"/>
    <w:rsid w:val="00275621"/>
    <w:rsid w:val="002833FB"/>
    <w:rsid w:val="002849B2"/>
    <w:rsid w:val="00285C72"/>
    <w:rsid w:val="002906CD"/>
    <w:rsid w:val="00295A7C"/>
    <w:rsid w:val="00295D0D"/>
    <w:rsid w:val="002A3F5F"/>
    <w:rsid w:val="002B0BFB"/>
    <w:rsid w:val="002B580F"/>
    <w:rsid w:val="002F05AF"/>
    <w:rsid w:val="002F0AA0"/>
    <w:rsid w:val="002F40B0"/>
    <w:rsid w:val="002F42D1"/>
    <w:rsid w:val="002F57F7"/>
    <w:rsid w:val="002F7278"/>
    <w:rsid w:val="00312EF9"/>
    <w:rsid w:val="00313913"/>
    <w:rsid w:val="0031477E"/>
    <w:rsid w:val="0032409E"/>
    <w:rsid w:val="00325965"/>
    <w:rsid w:val="00326651"/>
    <w:rsid w:val="00336AC1"/>
    <w:rsid w:val="00341594"/>
    <w:rsid w:val="0034479F"/>
    <w:rsid w:val="0035501F"/>
    <w:rsid w:val="0035586E"/>
    <w:rsid w:val="0036060B"/>
    <w:rsid w:val="00360A3B"/>
    <w:rsid w:val="0036227D"/>
    <w:rsid w:val="00366CA6"/>
    <w:rsid w:val="00373851"/>
    <w:rsid w:val="00385FDD"/>
    <w:rsid w:val="003917D2"/>
    <w:rsid w:val="003964B7"/>
    <w:rsid w:val="00396719"/>
    <w:rsid w:val="003977C1"/>
    <w:rsid w:val="003A4FA2"/>
    <w:rsid w:val="003B1EEB"/>
    <w:rsid w:val="003B204E"/>
    <w:rsid w:val="003B6463"/>
    <w:rsid w:val="003C29FC"/>
    <w:rsid w:val="003C4615"/>
    <w:rsid w:val="003C4DFD"/>
    <w:rsid w:val="003D31C4"/>
    <w:rsid w:val="003D4F5C"/>
    <w:rsid w:val="003E3CEF"/>
    <w:rsid w:val="003E781D"/>
    <w:rsid w:val="003F1774"/>
    <w:rsid w:val="0041396C"/>
    <w:rsid w:val="00422C9B"/>
    <w:rsid w:val="00424A4D"/>
    <w:rsid w:val="0042531C"/>
    <w:rsid w:val="004333D1"/>
    <w:rsid w:val="004353B0"/>
    <w:rsid w:val="0044434D"/>
    <w:rsid w:val="00452C98"/>
    <w:rsid w:val="00457D88"/>
    <w:rsid w:val="004609BC"/>
    <w:rsid w:val="00476BF9"/>
    <w:rsid w:val="00484F58"/>
    <w:rsid w:val="004954F4"/>
    <w:rsid w:val="00497853"/>
    <w:rsid w:val="004A4688"/>
    <w:rsid w:val="004A5866"/>
    <w:rsid w:val="004A5C1B"/>
    <w:rsid w:val="004A75D3"/>
    <w:rsid w:val="004C4DC6"/>
    <w:rsid w:val="004C653B"/>
    <w:rsid w:val="004E224B"/>
    <w:rsid w:val="004F0E61"/>
    <w:rsid w:val="00502EEB"/>
    <w:rsid w:val="005058CB"/>
    <w:rsid w:val="00516454"/>
    <w:rsid w:val="005246C9"/>
    <w:rsid w:val="00527368"/>
    <w:rsid w:val="00551792"/>
    <w:rsid w:val="00562895"/>
    <w:rsid w:val="00570E6E"/>
    <w:rsid w:val="0057167E"/>
    <w:rsid w:val="00584A4F"/>
    <w:rsid w:val="00587AAE"/>
    <w:rsid w:val="005A05B9"/>
    <w:rsid w:val="005A1FD6"/>
    <w:rsid w:val="005B5175"/>
    <w:rsid w:val="005C5242"/>
    <w:rsid w:val="005C6750"/>
    <w:rsid w:val="005D11C4"/>
    <w:rsid w:val="005E0671"/>
    <w:rsid w:val="005E78D0"/>
    <w:rsid w:val="005E7D8E"/>
    <w:rsid w:val="005E7E25"/>
    <w:rsid w:val="00600298"/>
    <w:rsid w:val="00601753"/>
    <w:rsid w:val="0060226C"/>
    <w:rsid w:val="00602406"/>
    <w:rsid w:val="006038CE"/>
    <w:rsid w:val="00604557"/>
    <w:rsid w:val="00604F53"/>
    <w:rsid w:val="00612C0F"/>
    <w:rsid w:val="00617AC1"/>
    <w:rsid w:val="006234D7"/>
    <w:rsid w:val="00624237"/>
    <w:rsid w:val="00636EF8"/>
    <w:rsid w:val="006476C5"/>
    <w:rsid w:val="00661319"/>
    <w:rsid w:val="00666990"/>
    <w:rsid w:val="00671D85"/>
    <w:rsid w:val="006838FB"/>
    <w:rsid w:val="0069067F"/>
    <w:rsid w:val="0069172C"/>
    <w:rsid w:val="00691867"/>
    <w:rsid w:val="0069357F"/>
    <w:rsid w:val="00696175"/>
    <w:rsid w:val="006A008C"/>
    <w:rsid w:val="006A494D"/>
    <w:rsid w:val="006A5D78"/>
    <w:rsid w:val="006B7F38"/>
    <w:rsid w:val="006C0003"/>
    <w:rsid w:val="006D04AC"/>
    <w:rsid w:val="006D699A"/>
    <w:rsid w:val="006E33F5"/>
    <w:rsid w:val="006E614F"/>
    <w:rsid w:val="006E64EE"/>
    <w:rsid w:val="006F0BD6"/>
    <w:rsid w:val="007048C4"/>
    <w:rsid w:val="007059CD"/>
    <w:rsid w:val="007069A8"/>
    <w:rsid w:val="00715AE6"/>
    <w:rsid w:val="00720680"/>
    <w:rsid w:val="00723489"/>
    <w:rsid w:val="007314DF"/>
    <w:rsid w:val="0073627B"/>
    <w:rsid w:val="00737AD3"/>
    <w:rsid w:val="007415C2"/>
    <w:rsid w:val="00746040"/>
    <w:rsid w:val="00753CD6"/>
    <w:rsid w:val="00754EAA"/>
    <w:rsid w:val="00765437"/>
    <w:rsid w:val="007677E3"/>
    <w:rsid w:val="00773175"/>
    <w:rsid w:val="0077344C"/>
    <w:rsid w:val="0077475B"/>
    <w:rsid w:val="00783E1A"/>
    <w:rsid w:val="007910D7"/>
    <w:rsid w:val="00791158"/>
    <w:rsid w:val="007A4086"/>
    <w:rsid w:val="007B1D79"/>
    <w:rsid w:val="007B1D8D"/>
    <w:rsid w:val="007B21C7"/>
    <w:rsid w:val="007B29C3"/>
    <w:rsid w:val="007B2C87"/>
    <w:rsid w:val="007B3ABF"/>
    <w:rsid w:val="007B476F"/>
    <w:rsid w:val="007B611E"/>
    <w:rsid w:val="007C2E30"/>
    <w:rsid w:val="007D4EEC"/>
    <w:rsid w:val="007D53C3"/>
    <w:rsid w:val="007E1ACA"/>
    <w:rsid w:val="007E5270"/>
    <w:rsid w:val="007F4407"/>
    <w:rsid w:val="00800DD4"/>
    <w:rsid w:val="008053F2"/>
    <w:rsid w:val="008059B4"/>
    <w:rsid w:val="00806D30"/>
    <w:rsid w:val="00807F33"/>
    <w:rsid w:val="00810BA4"/>
    <w:rsid w:val="0081263F"/>
    <w:rsid w:val="00812EEA"/>
    <w:rsid w:val="00816638"/>
    <w:rsid w:val="00816F88"/>
    <w:rsid w:val="00817C57"/>
    <w:rsid w:val="00820BAF"/>
    <w:rsid w:val="00827986"/>
    <w:rsid w:val="00840AC0"/>
    <w:rsid w:val="008413AB"/>
    <w:rsid w:val="00855E01"/>
    <w:rsid w:val="008731D4"/>
    <w:rsid w:val="0087537D"/>
    <w:rsid w:val="00876FA2"/>
    <w:rsid w:val="00881394"/>
    <w:rsid w:val="00881983"/>
    <w:rsid w:val="008B0F7F"/>
    <w:rsid w:val="008B1796"/>
    <w:rsid w:val="008B2DCA"/>
    <w:rsid w:val="008B37FB"/>
    <w:rsid w:val="008B4153"/>
    <w:rsid w:val="008B5203"/>
    <w:rsid w:val="008B56BF"/>
    <w:rsid w:val="008C2DD7"/>
    <w:rsid w:val="008C447C"/>
    <w:rsid w:val="008D7BDF"/>
    <w:rsid w:val="008E3091"/>
    <w:rsid w:val="008E6DD5"/>
    <w:rsid w:val="008F11AB"/>
    <w:rsid w:val="008F2AF1"/>
    <w:rsid w:val="008F402D"/>
    <w:rsid w:val="00903846"/>
    <w:rsid w:val="0091471F"/>
    <w:rsid w:val="00917E16"/>
    <w:rsid w:val="009247A4"/>
    <w:rsid w:val="0092776B"/>
    <w:rsid w:val="0093198F"/>
    <w:rsid w:val="009421A6"/>
    <w:rsid w:val="009421F5"/>
    <w:rsid w:val="00964501"/>
    <w:rsid w:val="00964B7B"/>
    <w:rsid w:val="009650F7"/>
    <w:rsid w:val="009728C7"/>
    <w:rsid w:val="0097677C"/>
    <w:rsid w:val="009956FF"/>
    <w:rsid w:val="00995A35"/>
    <w:rsid w:val="009A0955"/>
    <w:rsid w:val="009A5DCE"/>
    <w:rsid w:val="009B1450"/>
    <w:rsid w:val="009B3990"/>
    <w:rsid w:val="009C3D56"/>
    <w:rsid w:val="009D48A1"/>
    <w:rsid w:val="009D6912"/>
    <w:rsid w:val="009E2A76"/>
    <w:rsid w:val="009E4723"/>
    <w:rsid w:val="00A00E43"/>
    <w:rsid w:val="00A01EB4"/>
    <w:rsid w:val="00A12F17"/>
    <w:rsid w:val="00A16DFF"/>
    <w:rsid w:val="00A25E84"/>
    <w:rsid w:val="00A27BDD"/>
    <w:rsid w:val="00A37CC0"/>
    <w:rsid w:val="00A42893"/>
    <w:rsid w:val="00A4410A"/>
    <w:rsid w:val="00A46BA6"/>
    <w:rsid w:val="00A527CC"/>
    <w:rsid w:val="00A66B86"/>
    <w:rsid w:val="00A718F5"/>
    <w:rsid w:val="00A71DB6"/>
    <w:rsid w:val="00A73778"/>
    <w:rsid w:val="00A776F9"/>
    <w:rsid w:val="00A96451"/>
    <w:rsid w:val="00AA0B92"/>
    <w:rsid w:val="00AB09DF"/>
    <w:rsid w:val="00AE2FE6"/>
    <w:rsid w:val="00AF1C62"/>
    <w:rsid w:val="00AF3899"/>
    <w:rsid w:val="00AF3C96"/>
    <w:rsid w:val="00AF3FFE"/>
    <w:rsid w:val="00AF58EA"/>
    <w:rsid w:val="00B13852"/>
    <w:rsid w:val="00B143E3"/>
    <w:rsid w:val="00B20ECF"/>
    <w:rsid w:val="00B344DB"/>
    <w:rsid w:val="00B40285"/>
    <w:rsid w:val="00B40BAE"/>
    <w:rsid w:val="00B41CBA"/>
    <w:rsid w:val="00B61931"/>
    <w:rsid w:val="00B65D5D"/>
    <w:rsid w:val="00B82367"/>
    <w:rsid w:val="00B90E0F"/>
    <w:rsid w:val="00B92C26"/>
    <w:rsid w:val="00B95241"/>
    <w:rsid w:val="00BA69DC"/>
    <w:rsid w:val="00BB5A5F"/>
    <w:rsid w:val="00BB798F"/>
    <w:rsid w:val="00BC3418"/>
    <w:rsid w:val="00BC5452"/>
    <w:rsid w:val="00BC5A78"/>
    <w:rsid w:val="00BC64BC"/>
    <w:rsid w:val="00BC794D"/>
    <w:rsid w:val="00BE208C"/>
    <w:rsid w:val="00BE2828"/>
    <w:rsid w:val="00BE3EFB"/>
    <w:rsid w:val="00BE6626"/>
    <w:rsid w:val="00BF0B67"/>
    <w:rsid w:val="00C0514F"/>
    <w:rsid w:val="00C11221"/>
    <w:rsid w:val="00C12BD4"/>
    <w:rsid w:val="00C171BC"/>
    <w:rsid w:val="00C20A15"/>
    <w:rsid w:val="00C41F01"/>
    <w:rsid w:val="00C4370C"/>
    <w:rsid w:val="00C43D2A"/>
    <w:rsid w:val="00C4457C"/>
    <w:rsid w:val="00C45C42"/>
    <w:rsid w:val="00C507C0"/>
    <w:rsid w:val="00C50AF7"/>
    <w:rsid w:val="00C55510"/>
    <w:rsid w:val="00C61590"/>
    <w:rsid w:val="00C7378E"/>
    <w:rsid w:val="00C7695D"/>
    <w:rsid w:val="00C77A54"/>
    <w:rsid w:val="00C824BD"/>
    <w:rsid w:val="00CA59C8"/>
    <w:rsid w:val="00CA5D87"/>
    <w:rsid w:val="00CB0FA5"/>
    <w:rsid w:val="00CB4963"/>
    <w:rsid w:val="00CB71FE"/>
    <w:rsid w:val="00CD2E38"/>
    <w:rsid w:val="00CD4101"/>
    <w:rsid w:val="00CD669D"/>
    <w:rsid w:val="00CE165F"/>
    <w:rsid w:val="00CE203D"/>
    <w:rsid w:val="00CE507B"/>
    <w:rsid w:val="00CE608E"/>
    <w:rsid w:val="00D006CC"/>
    <w:rsid w:val="00D12F00"/>
    <w:rsid w:val="00D151DC"/>
    <w:rsid w:val="00D22221"/>
    <w:rsid w:val="00D22CA5"/>
    <w:rsid w:val="00D3411B"/>
    <w:rsid w:val="00D370F4"/>
    <w:rsid w:val="00D407B8"/>
    <w:rsid w:val="00D42792"/>
    <w:rsid w:val="00D42F3F"/>
    <w:rsid w:val="00D51FA7"/>
    <w:rsid w:val="00D63793"/>
    <w:rsid w:val="00D76994"/>
    <w:rsid w:val="00D938F0"/>
    <w:rsid w:val="00DA5A4F"/>
    <w:rsid w:val="00DA7F35"/>
    <w:rsid w:val="00DB348D"/>
    <w:rsid w:val="00DB7D16"/>
    <w:rsid w:val="00DC43B9"/>
    <w:rsid w:val="00DC7F04"/>
    <w:rsid w:val="00DE350D"/>
    <w:rsid w:val="00DE44BE"/>
    <w:rsid w:val="00E06FE2"/>
    <w:rsid w:val="00E0770D"/>
    <w:rsid w:val="00E1031C"/>
    <w:rsid w:val="00E12C71"/>
    <w:rsid w:val="00E261D9"/>
    <w:rsid w:val="00E30348"/>
    <w:rsid w:val="00E331EC"/>
    <w:rsid w:val="00E365CF"/>
    <w:rsid w:val="00E404C9"/>
    <w:rsid w:val="00E40D2B"/>
    <w:rsid w:val="00E41B0D"/>
    <w:rsid w:val="00E42A74"/>
    <w:rsid w:val="00E44117"/>
    <w:rsid w:val="00E5045C"/>
    <w:rsid w:val="00E52A1F"/>
    <w:rsid w:val="00E7004A"/>
    <w:rsid w:val="00E72D99"/>
    <w:rsid w:val="00E80200"/>
    <w:rsid w:val="00E85FCC"/>
    <w:rsid w:val="00E908C9"/>
    <w:rsid w:val="00E90C2F"/>
    <w:rsid w:val="00E9269E"/>
    <w:rsid w:val="00EA0069"/>
    <w:rsid w:val="00EA7A47"/>
    <w:rsid w:val="00EB01CD"/>
    <w:rsid w:val="00EC41F6"/>
    <w:rsid w:val="00EC5D70"/>
    <w:rsid w:val="00EC78EA"/>
    <w:rsid w:val="00EE1B93"/>
    <w:rsid w:val="00EE5B56"/>
    <w:rsid w:val="00EF095A"/>
    <w:rsid w:val="00F0722B"/>
    <w:rsid w:val="00F11227"/>
    <w:rsid w:val="00F31F56"/>
    <w:rsid w:val="00F36388"/>
    <w:rsid w:val="00F373B7"/>
    <w:rsid w:val="00F37905"/>
    <w:rsid w:val="00F42D01"/>
    <w:rsid w:val="00F451C7"/>
    <w:rsid w:val="00F5722D"/>
    <w:rsid w:val="00F60009"/>
    <w:rsid w:val="00F61B5C"/>
    <w:rsid w:val="00F723AA"/>
    <w:rsid w:val="00F73544"/>
    <w:rsid w:val="00F90CFD"/>
    <w:rsid w:val="00FA1DAA"/>
    <w:rsid w:val="00FA51C6"/>
    <w:rsid w:val="00FA5837"/>
    <w:rsid w:val="00FA6D5A"/>
    <w:rsid w:val="00FB39ED"/>
    <w:rsid w:val="00FB64C1"/>
    <w:rsid w:val="00FC5777"/>
    <w:rsid w:val="00FD0C3E"/>
    <w:rsid w:val="00FD16DB"/>
    <w:rsid w:val="00FD2C52"/>
    <w:rsid w:val="00FD3763"/>
    <w:rsid w:val="00FD65B9"/>
    <w:rsid w:val="00FD766E"/>
    <w:rsid w:val="00FD7678"/>
    <w:rsid w:val="00FE1C26"/>
    <w:rsid w:val="00FF1727"/>
    <w:rsid w:val="00FF520A"/>
    <w:rsid w:val="00FF5B5B"/>
    <w:rsid w:val="00FF6B84"/>
    <w:rsid w:val="00FF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67"/>
    <w:pPr>
      <w:spacing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45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70E6E"/>
    <w:pPr>
      <w:keepNext/>
      <w:outlineLvl w:val="2"/>
    </w:pPr>
    <w:rPr>
      <w:rFonts w:eastAsia="Times New Roman"/>
      <w:b/>
      <w:bCs/>
      <w:color w:val="133D8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F0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F04"/>
    <w:pPr>
      <w:spacing w:before="240" w:after="60"/>
      <w:outlineLvl w:val="5"/>
    </w:pPr>
    <w:rPr>
      <w:rFonts w:ascii="Calibri" w:eastAsia="Times New Roman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2D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D99"/>
  </w:style>
  <w:style w:type="paragraph" w:styleId="Footer">
    <w:name w:val="footer"/>
    <w:basedOn w:val="Normal"/>
    <w:link w:val="FooterChar"/>
    <w:unhideWhenUsed/>
    <w:rsid w:val="00E72D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72D99"/>
  </w:style>
  <w:style w:type="table" w:styleId="TableGrid">
    <w:name w:val="Table Grid"/>
    <w:basedOn w:val="TableNormal"/>
    <w:uiPriority w:val="59"/>
    <w:rsid w:val="00D22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570E6E"/>
    <w:rPr>
      <w:rFonts w:eastAsia="Times New Roman"/>
      <w:b/>
      <w:bCs/>
      <w:color w:val="133D8D"/>
      <w:sz w:val="22"/>
      <w:szCs w:val="22"/>
      <w:lang w:eastAsia="en-US"/>
    </w:rPr>
  </w:style>
  <w:style w:type="paragraph" w:customStyle="1" w:styleId="Default">
    <w:name w:val="Default"/>
    <w:rsid w:val="00D22CA5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D22CA5"/>
    <w:rPr>
      <w:i/>
      <w:iCs/>
    </w:rPr>
  </w:style>
  <w:style w:type="paragraph" w:customStyle="1" w:styleId="listheading">
    <w:name w:val="list heading"/>
    <w:basedOn w:val="Normal"/>
    <w:uiPriority w:val="99"/>
    <w:rsid w:val="00D22CA5"/>
    <w:pPr>
      <w:spacing w:after="120" w:line="240" w:lineRule="auto"/>
    </w:pPr>
    <w:rPr>
      <w:rFonts w:ascii="Trebuchet MS" w:eastAsia="Times New Roman" w:hAnsi="Trebuchet MS"/>
      <w:b/>
      <w:sz w:val="20"/>
      <w:szCs w:val="20"/>
      <w:lang w:val="en-US"/>
    </w:rPr>
  </w:style>
  <w:style w:type="paragraph" w:customStyle="1" w:styleId="Listbulletindented">
    <w:name w:val="List bullet indented"/>
    <w:basedOn w:val="ListBullet"/>
    <w:uiPriority w:val="99"/>
    <w:rsid w:val="0002455D"/>
    <w:pPr>
      <w:numPr>
        <w:numId w:val="0"/>
      </w:numPr>
      <w:tabs>
        <w:tab w:val="num" w:pos="720"/>
      </w:tabs>
      <w:spacing w:line="240" w:lineRule="auto"/>
      <w:ind w:left="720" w:hanging="360"/>
      <w:contextualSpacing w:val="0"/>
    </w:pPr>
    <w:rPr>
      <w:rFonts w:ascii="Trebuchet MS" w:eastAsia="Times New Roman" w:hAnsi="Trebuchet MS"/>
      <w:sz w:val="20"/>
      <w:szCs w:val="20"/>
      <w:lang w:val="en-US"/>
    </w:rPr>
  </w:style>
  <w:style w:type="paragraph" w:styleId="ListBullet">
    <w:name w:val="List Bullet"/>
    <w:basedOn w:val="Normal"/>
    <w:uiPriority w:val="99"/>
    <w:unhideWhenUsed/>
    <w:rsid w:val="0002455D"/>
    <w:pPr>
      <w:numPr>
        <w:numId w:val="1"/>
      </w:num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516454"/>
    <w:pPr>
      <w:ind w:left="720"/>
      <w:contextualSpacing/>
    </w:pPr>
  </w:style>
  <w:style w:type="character" w:styleId="Hyperlink">
    <w:name w:val="Hyperlink"/>
    <w:basedOn w:val="DefaultParagraphFont"/>
    <w:unhideWhenUsed/>
    <w:rsid w:val="005164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6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2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2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2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2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00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E6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E6E"/>
    <w:rPr>
      <w:b/>
      <w:bCs/>
      <w:i/>
      <w:iCs/>
      <w:color w:val="4F81BD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F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F0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A42893"/>
    <w:pPr>
      <w:spacing w:line="240" w:lineRule="auto"/>
      <w:jc w:val="center"/>
    </w:pPr>
    <w:rPr>
      <w:rFonts w:eastAsia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42893"/>
    <w:rPr>
      <w:rFonts w:eastAsia="Times New Roman" w:cs="Arial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C7378E"/>
    <w:pPr>
      <w:spacing w:after="120" w:line="240" w:lineRule="auto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7378E"/>
    <w:rPr>
      <w:rFonts w:eastAsia="Times New Roman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04557"/>
    <w:rPr>
      <w:rFonts w:ascii="Cambria" w:eastAsia="Times New Roman" w:hAnsi="Cambria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2B7C7-0391-412B-A96E-D3EFE28A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Anglicare Central Queensland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mwhite</dc:creator>
  <cp:lastModifiedBy>spabis</cp:lastModifiedBy>
  <cp:revision>15</cp:revision>
  <cp:lastPrinted>2015-04-22T05:44:00Z</cp:lastPrinted>
  <dcterms:created xsi:type="dcterms:W3CDTF">2016-01-12T05:39:00Z</dcterms:created>
  <dcterms:modified xsi:type="dcterms:W3CDTF">2016-01-20T04:25:00Z</dcterms:modified>
</cp:coreProperties>
</file>