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BE" w:rsidRPr="006633E5" w:rsidRDefault="00111CBE" w:rsidP="00111CBE">
      <w:pPr>
        <w:spacing w:after="0"/>
        <w:jc w:val="center"/>
        <w:rPr>
          <w:rFonts w:ascii="Arial" w:hAnsi="Arial" w:cs="Arial"/>
          <w:lang w:val="en-AU"/>
        </w:rPr>
      </w:pPr>
    </w:p>
    <w:p w:rsidR="0050681C" w:rsidRDefault="0050681C" w:rsidP="0050681C">
      <w:pPr>
        <w:jc w:val="center"/>
        <w:rPr>
          <w:b/>
          <w:bCs/>
        </w:rPr>
      </w:pPr>
      <w:r>
        <w:rPr>
          <w:b/>
          <w:bCs/>
        </w:rPr>
        <w:t>POSITION DESCRIPTION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50681C" w:rsidTr="0050681C">
        <w:tc>
          <w:tcPr>
            <w:tcW w:w="2518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POSITION TITLE                                               </w:t>
            </w:r>
          </w:p>
        </w:tc>
        <w:tc>
          <w:tcPr>
            <w:tcW w:w="6724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color w:val="000000"/>
              </w:rPr>
              <w:t>Case Worker Personalised Support Service</w:t>
            </w:r>
          </w:p>
        </w:tc>
      </w:tr>
      <w:tr w:rsidR="0050681C" w:rsidTr="0050681C">
        <w:tc>
          <w:tcPr>
            <w:tcW w:w="2518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6724" w:type="dxa"/>
          </w:tcPr>
          <w:p w:rsidR="0050681C" w:rsidRDefault="0050681C" w:rsidP="005068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Rockhampton</w:t>
            </w:r>
          </w:p>
          <w:p w:rsidR="0050681C" w:rsidRPr="0050681C" w:rsidRDefault="00F65915" w:rsidP="005068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0681C" w:rsidTr="0050681C">
        <w:tc>
          <w:tcPr>
            <w:tcW w:w="2518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CLASSIFICATION</w:t>
            </w:r>
          </w:p>
        </w:tc>
        <w:tc>
          <w:tcPr>
            <w:tcW w:w="6724" w:type="dxa"/>
          </w:tcPr>
          <w:p w:rsidR="0050681C" w:rsidRDefault="0050681C" w:rsidP="005068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Level 4</w:t>
            </w:r>
          </w:p>
          <w:p w:rsidR="0050681C" w:rsidRPr="0050681C" w:rsidRDefault="0050681C" w:rsidP="0050681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50681C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Social, Community, Home Care &amp; Disability Services Industry Award</w:t>
            </w:r>
          </w:p>
        </w:tc>
      </w:tr>
      <w:tr w:rsidR="0050681C" w:rsidTr="0050681C">
        <w:tc>
          <w:tcPr>
            <w:tcW w:w="2518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STATUS</w:t>
            </w:r>
          </w:p>
        </w:tc>
        <w:tc>
          <w:tcPr>
            <w:tcW w:w="6724" w:type="dxa"/>
          </w:tcPr>
          <w:p w:rsidR="0050681C" w:rsidRDefault="0050681C" w:rsidP="00F65915">
            <w:pPr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</w:rPr>
              <w:t>Rockhampton (full time)</w:t>
            </w:r>
          </w:p>
        </w:tc>
      </w:tr>
      <w:tr w:rsidR="0050681C" w:rsidTr="0050681C">
        <w:tc>
          <w:tcPr>
            <w:tcW w:w="2518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SUPERVISED BY</w:t>
            </w:r>
          </w:p>
        </w:tc>
        <w:tc>
          <w:tcPr>
            <w:tcW w:w="6724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color w:val="000000"/>
              </w:rPr>
              <w:t>Mental Health Programs Coordinator</w:t>
            </w:r>
          </w:p>
        </w:tc>
      </w:tr>
      <w:tr w:rsidR="0050681C" w:rsidTr="0050681C">
        <w:tc>
          <w:tcPr>
            <w:tcW w:w="2518" w:type="dxa"/>
          </w:tcPr>
          <w:p w:rsidR="0050681C" w:rsidRDefault="0050681C" w:rsidP="005068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HOURS OF EMPLOYMENT</w:t>
            </w:r>
          </w:p>
        </w:tc>
        <w:tc>
          <w:tcPr>
            <w:tcW w:w="6724" w:type="dxa"/>
          </w:tcPr>
          <w:p w:rsidR="0050681C" w:rsidRDefault="0050681C" w:rsidP="005068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Rockhampton 38 hrs</w:t>
            </w:r>
          </w:p>
          <w:p w:rsidR="0050681C" w:rsidRPr="0050681C" w:rsidRDefault="0050681C" w:rsidP="005068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A225F" w:rsidRPr="000F1A0E" w:rsidRDefault="003A225F" w:rsidP="000F1A0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proofErr w:type="spellStart"/>
      <w:r w:rsidRPr="000F1A0E">
        <w:rPr>
          <w:b/>
          <w:bCs/>
          <w:color w:val="000000"/>
        </w:rPr>
        <w:t>Organisation</w:t>
      </w:r>
      <w:proofErr w:type="spellEnd"/>
      <w:r w:rsidRPr="000F1A0E">
        <w:rPr>
          <w:b/>
          <w:bCs/>
          <w:color w:val="000000"/>
        </w:rPr>
        <w:t xml:space="preserve"> Information</w:t>
      </w:r>
    </w:p>
    <w:p w:rsidR="003A225F" w:rsidRDefault="003A225F" w:rsidP="003A225F">
      <w:pPr>
        <w:autoSpaceDE w:val="0"/>
        <w:autoSpaceDN w:val="0"/>
        <w:adjustRightInd w:val="0"/>
        <w:spacing w:after="0" w:line="240" w:lineRule="auto"/>
        <w:rPr>
          <w:i/>
          <w:iCs/>
          <w:color w:val="003366"/>
        </w:rPr>
      </w:pPr>
      <w:r>
        <w:rPr>
          <w:i/>
          <w:iCs/>
          <w:color w:val="003366"/>
        </w:rPr>
        <w:t>Anglicare Central Queensland exists to work with people to make the best of their lives.  Our values are: Respect, Compassion, Integrity, Innovation, Hope and Purpose.</w:t>
      </w:r>
    </w:p>
    <w:p w:rsidR="003A225F" w:rsidRPr="003A225F" w:rsidRDefault="003A225F" w:rsidP="003A225F">
      <w:pPr>
        <w:autoSpaceDE w:val="0"/>
        <w:autoSpaceDN w:val="0"/>
        <w:adjustRightInd w:val="0"/>
        <w:spacing w:after="0" w:line="240" w:lineRule="auto"/>
        <w:rPr>
          <w:i/>
          <w:iCs/>
          <w:color w:val="003366"/>
        </w:rPr>
      </w:pPr>
    </w:p>
    <w:p w:rsidR="003A225F" w:rsidRPr="00EC3954" w:rsidRDefault="003A225F" w:rsidP="003A225F">
      <w:pPr>
        <w:spacing w:after="120"/>
        <w:jc w:val="both"/>
      </w:pPr>
      <w:r w:rsidRPr="00EC3954">
        <w:t>Anglicare Central Queensland (A</w:t>
      </w:r>
      <w:r>
        <w:t>nglicare C</w:t>
      </w:r>
      <w:r w:rsidRPr="00EC3954">
        <w:t>Q) is a not-for-profit organization providing a range of services to individuals and communities throughout Central Queensland.  Our</w:t>
      </w:r>
      <w:r w:rsidRPr="00EC3954">
        <w:rPr>
          <w:rFonts w:cs="Arial"/>
        </w:rPr>
        <w:t xml:space="preserve"> primary role is to respond to the needs of those who are vulnerable and/or disadvantaged. Our services help many groups inclu</w:t>
      </w:r>
      <w:r>
        <w:rPr>
          <w:rFonts w:cs="Arial"/>
        </w:rPr>
        <w:t>ding - children, young people, I</w:t>
      </w:r>
      <w:r w:rsidRPr="00EC3954">
        <w:rPr>
          <w:rFonts w:cs="Arial"/>
        </w:rPr>
        <w:t xml:space="preserve">ndigenous people, families, couples, men and women - in a range of ways from crisis intervention through to </w:t>
      </w:r>
      <w:proofErr w:type="spellStart"/>
      <w:r w:rsidRPr="00EC3954">
        <w:rPr>
          <w:rFonts w:cs="Arial"/>
        </w:rPr>
        <w:t>counselling</w:t>
      </w:r>
      <w:proofErr w:type="spellEnd"/>
      <w:r w:rsidRPr="00EC3954">
        <w:rPr>
          <w:rFonts w:cs="Arial"/>
        </w:rPr>
        <w:t xml:space="preserve"> and relationship education. We also provide support services for people at risk of homelessness, families and young people in crisis, </w:t>
      </w:r>
      <w:r>
        <w:rPr>
          <w:rFonts w:cs="Arial"/>
        </w:rPr>
        <w:t xml:space="preserve">people with a disability, </w:t>
      </w:r>
      <w:r w:rsidRPr="00EC3954">
        <w:rPr>
          <w:rFonts w:cs="Arial"/>
        </w:rPr>
        <w:t xml:space="preserve">people with a </w:t>
      </w:r>
      <w:r>
        <w:rPr>
          <w:rFonts w:cs="Arial"/>
        </w:rPr>
        <w:t xml:space="preserve">lived experience of </w:t>
      </w:r>
      <w:r w:rsidRPr="00EC3954">
        <w:rPr>
          <w:rFonts w:cs="Arial"/>
        </w:rPr>
        <w:t>mental illness and</w:t>
      </w:r>
      <w:r>
        <w:rPr>
          <w:rFonts w:cs="Arial"/>
        </w:rPr>
        <w:t xml:space="preserve"> their </w:t>
      </w:r>
      <w:proofErr w:type="spellStart"/>
      <w:r>
        <w:rPr>
          <w:rFonts w:cs="Arial"/>
        </w:rPr>
        <w:t>carers</w:t>
      </w:r>
      <w:proofErr w:type="spellEnd"/>
      <w:r>
        <w:rPr>
          <w:rFonts w:cs="Arial"/>
        </w:rPr>
        <w:t xml:space="preserve"> </w:t>
      </w:r>
      <w:r w:rsidRPr="00EC3954">
        <w:rPr>
          <w:rFonts w:cs="Arial"/>
        </w:rPr>
        <w:t>– supporting connections with family, culture and community.</w:t>
      </w:r>
    </w:p>
    <w:p w:rsidR="003A225F" w:rsidRPr="003A225F" w:rsidRDefault="003A225F" w:rsidP="003A225F">
      <w:pPr>
        <w:spacing w:after="120"/>
        <w:jc w:val="both"/>
        <w:rPr>
          <w:rFonts w:cs="Arial"/>
          <w:bCs/>
        </w:rPr>
      </w:pPr>
      <w:r w:rsidRPr="00EC3954">
        <w:rPr>
          <w:rFonts w:cs="Arial"/>
          <w:bCs/>
        </w:rPr>
        <w:t>A</w:t>
      </w:r>
      <w:r>
        <w:rPr>
          <w:rFonts w:cs="Arial"/>
          <w:bCs/>
        </w:rPr>
        <w:t xml:space="preserve">nglicare </w:t>
      </w:r>
      <w:r w:rsidRPr="00EC3954">
        <w:rPr>
          <w:rFonts w:cs="Arial"/>
          <w:bCs/>
        </w:rPr>
        <w:t xml:space="preserve">CQ provides services in a region covering 600,000 square kilometers with offices in Rockhampton, Gladstone, Biloela, </w:t>
      </w:r>
      <w:proofErr w:type="spellStart"/>
      <w:r w:rsidRPr="00EC3954">
        <w:rPr>
          <w:rFonts w:cs="Arial"/>
          <w:bCs/>
        </w:rPr>
        <w:t>Moura</w:t>
      </w:r>
      <w:proofErr w:type="spellEnd"/>
      <w:r w:rsidRPr="00EC3954">
        <w:rPr>
          <w:rFonts w:cs="Arial"/>
          <w:bCs/>
        </w:rPr>
        <w:t xml:space="preserve">, </w:t>
      </w:r>
      <w:proofErr w:type="spellStart"/>
      <w:r w:rsidRPr="00EC3954">
        <w:rPr>
          <w:rFonts w:cs="Arial"/>
          <w:bCs/>
        </w:rPr>
        <w:t>Blackwater</w:t>
      </w:r>
      <w:proofErr w:type="spellEnd"/>
      <w:r w:rsidRPr="00EC3954">
        <w:rPr>
          <w:rFonts w:cs="Arial"/>
          <w:bCs/>
        </w:rPr>
        <w:t xml:space="preserve">, Emerald, </w:t>
      </w:r>
      <w:proofErr w:type="spellStart"/>
      <w:r w:rsidRPr="00EC3954">
        <w:rPr>
          <w:rFonts w:cs="Arial"/>
          <w:bCs/>
        </w:rPr>
        <w:t>B</w:t>
      </w:r>
      <w:r>
        <w:rPr>
          <w:rFonts w:cs="Arial"/>
          <w:bCs/>
        </w:rPr>
        <w:t>arcaldine</w:t>
      </w:r>
      <w:proofErr w:type="spellEnd"/>
      <w:r>
        <w:rPr>
          <w:rFonts w:cs="Arial"/>
          <w:bCs/>
        </w:rPr>
        <w:t>, Longreach and Winton and is governed by a Board of Directors.  The executive team includes, a CEO supported by Business Services, People and Strategy and Service Delivery.</w:t>
      </w:r>
      <w:r w:rsidRPr="00EC3954">
        <w:rPr>
          <w:rFonts w:cs="Arial"/>
          <w:bCs/>
        </w:rPr>
        <w:t xml:space="preserve"> Service delivery is overseen by </w:t>
      </w:r>
      <w:r>
        <w:rPr>
          <w:rFonts w:cs="Arial"/>
          <w:bCs/>
        </w:rPr>
        <w:t xml:space="preserve">a General Manager and </w:t>
      </w:r>
      <w:r w:rsidRPr="00EC3954">
        <w:rPr>
          <w:rFonts w:cs="Arial"/>
          <w:bCs/>
        </w:rPr>
        <w:t xml:space="preserve">three </w:t>
      </w:r>
      <w:r>
        <w:rPr>
          <w:rFonts w:cs="Arial"/>
          <w:bCs/>
        </w:rPr>
        <w:t>M</w:t>
      </w:r>
      <w:r w:rsidRPr="00EC3954">
        <w:rPr>
          <w:rFonts w:cs="Arial"/>
          <w:bCs/>
        </w:rPr>
        <w:t xml:space="preserve">anagers located in Rockhampton (Capricorn </w:t>
      </w:r>
      <w:r>
        <w:rPr>
          <w:rFonts w:cs="Arial"/>
          <w:bCs/>
        </w:rPr>
        <w:t xml:space="preserve">Region) and Gladstone.  Community Services Manager leads the Mental Health portfolio.  Staff </w:t>
      </w:r>
      <w:r w:rsidRPr="00EC3954">
        <w:rPr>
          <w:rFonts w:cs="Arial"/>
          <w:bCs/>
        </w:rPr>
        <w:t xml:space="preserve">are actively </w:t>
      </w:r>
      <w:r>
        <w:rPr>
          <w:rFonts w:cs="Arial"/>
          <w:bCs/>
        </w:rPr>
        <w:t xml:space="preserve">encouraged to be </w:t>
      </w:r>
      <w:r w:rsidRPr="00EC3954">
        <w:rPr>
          <w:rFonts w:cs="Arial"/>
          <w:bCs/>
        </w:rPr>
        <w:t>involved in management and decision making in the organization through the Workpla</w:t>
      </w:r>
      <w:r>
        <w:rPr>
          <w:rFonts w:cs="Arial"/>
          <w:bCs/>
        </w:rPr>
        <w:t xml:space="preserve">ce Health and Safety Committee </w:t>
      </w:r>
      <w:r w:rsidRPr="00EC3954">
        <w:rPr>
          <w:rFonts w:cs="Arial"/>
          <w:bCs/>
        </w:rPr>
        <w:t xml:space="preserve">and </w:t>
      </w:r>
      <w:r>
        <w:rPr>
          <w:rFonts w:cs="Arial"/>
          <w:bCs/>
        </w:rPr>
        <w:t>Continuous Improvement</w:t>
      </w:r>
      <w:r w:rsidRPr="00EC3954">
        <w:rPr>
          <w:rFonts w:cs="Arial"/>
          <w:bCs/>
        </w:rPr>
        <w:t xml:space="preserve"> groups, and within work teams.</w:t>
      </w:r>
    </w:p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Position Summary</w:t>
      </w:r>
    </w:p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50681C" w:rsidRPr="003708C8" w:rsidRDefault="0050681C" w:rsidP="003708C8">
      <w:pPr>
        <w:spacing w:after="120"/>
        <w:jc w:val="both"/>
      </w:pPr>
      <w:r w:rsidRPr="003708C8">
        <w:t>The case worker is responsible for providing direct support to people residing in social and</w:t>
      </w:r>
      <w:r w:rsidR="003708C8">
        <w:t xml:space="preserve"> </w:t>
      </w:r>
      <w:r w:rsidRPr="003708C8">
        <w:t>community housing who experience mental illness and whose tenancies are at risk. The primary role</w:t>
      </w:r>
      <w:r w:rsidR="003708C8">
        <w:t xml:space="preserve"> </w:t>
      </w:r>
      <w:r w:rsidRPr="003708C8">
        <w:t>is to assist people to sustain their tenancies. The case worker will operate from a recovery model and</w:t>
      </w:r>
      <w:r w:rsidR="003708C8">
        <w:t xml:space="preserve"> </w:t>
      </w:r>
      <w:r w:rsidRPr="003708C8">
        <w:t>offer a range of activities including but not limited to development of an individualised support plan,</w:t>
      </w:r>
      <w:r w:rsidR="003708C8">
        <w:t xml:space="preserve"> </w:t>
      </w:r>
      <w:r w:rsidRPr="003708C8">
        <w:t>referrals, coaching and life skill development, community access, self care, developing relationships,</w:t>
      </w:r>
      <w:r w:rsidR="003708C8">
        <w:t xml:space="preserve"> </w:t>
      </w:r>
      <w:r w:rsidRPr="003708C8">
        <w:t>managing money and tenancies. The case worker will also develop networks and referral linkages</w:t>
      </w:r>
      <w:r w:rsidR="003708C8">
        <w:t xml:space="preserve"> </w:t>
      </w:r>
      <w:r w:rsidRPr="003708C8">
        <w:t xml:space="preserve">with </w:t>
      </w:r>
      <w:proofErr w:type="spellStart"/>
      <w:r w:rsidRPr="003708C8">
        <w:t>Qld</w:t>
      </w:r>
      <w:proofErr w:type="spellEnd"/>
      <w:r w:rsidRPr="003708C8">
        <w:t xml:space="preserve"> Health, Department of Housing and Public Works, Social and Community Housing providers</w:t>
      </w:r>
      <w:r w:rsidR="000537B6" w:rsidRPr="003708C8">
        <w:t>.</w:t>
      </w:r>
    </w:p>
    <w:p w:rsidR="007E47B9" w:rsidRDefault="007E47B9" w:rsidP="0050681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E47B9" w:rsidRDefault="007E47B9" w:rsidP="0050681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Reporting Requirements</w:t>
      </w:r>
    </w:p>
    <w:p w:rsidR="008121AA" w:rsidRDefault="008121AA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50681C" w:rsidRDefault="0050681C" w:rsidP="006F4FC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The case worker is accountable to the </w:t>
      </w:r>
      <w:r w:rsidR="000F1A0E">
        <w:rPr>
          <w:color w:val="000000"/>
        </w:rPr>
        <w:t>Coordinator</w:t>
      </w:r>
      <w:r>
        <w:rPr>
          <w:color w:val="000000"/>
        </w:rPr>
        <w:t xml:space="preserve"> Mental Health Programs and works closely with ACQ</w:t>
      </w:r>
      <w:r w:rsidR="006F4FC3">
        <w:rPr>
          <w:color w:val="000000"/>
        </w:rPr>
        <w:t xml:space="preserve"> </w:t>
      </w:r>
      <w:r>
        <w:rPr>
          <w:color w:val="000000"/>
        </w:rPr>
        <w:t>Community Housing Programs and other ACQ Mental Health Programs. The case worker will also</w:t>
      </w:r>
      <w:r w:rsidR="00F65915">
        <w:rPr>
          <w:color w:val="000000"/>
        </w:rPr>
        <w:t xml:space="preserve"> </w:t>
      </w:r>
      <w:r>
        <w:rPr>
          <w:color w:val="000000"/>
        </w:rPr>
        <w:t>communicate regularly with local/ centre based ACQ Management and work within a multi program</w:t>
      </w:r>
      <w:r w:rsidR="006F4FC3">
        <w:rPr>
          <w:color w:val="000000"/>
        </w:rPr>
        <w:t xml:space="preserve"> </w:t>
      </w:r>
      <w:r>
        <w:rPr>
          <w:color w:val="000000"/>
        </w:rPr>
        <w:t>and team environment.</w:t>
      </w:r>
    </w:p>
    <w:p w:rsidR="008121AA" w:rsidRDefault="008121AA" w:rsidP="0050681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121AA" w:rsidRDefault="008121AA" w:rsidP="0050681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leGrid"/>
        <w:tblpPr w:leftFromText="180" w:rightFromText="180" w:vertAnchor="text" w:horzAnchor="margin" w:tblpY="91"/>
        <w:tblW w:w="0" w:type="auto"/>
        <w:tblLook w:val="04A0"/>
      </w:tblPr>
      <w:tblGrid>
        <w:gridCol w:w="9661"/>
      </w:tblGrid>
      <w:tr w:rsidR="008A3FDD" w:rsidTr="008A3FDD">
        <w:trPr>
          <w:trHeight w:val="562"/>
        </w:trPr>
        <w:tc>
          <w:tcPr>
            <w:tcW w:w="9661" w:type="dxa"/>
            <w:shd w:val="clear" w:color="auto" w:fill="D9D9D9" w:themeFill="background1" w:themeFillShade="D9"/>
          </w:tcPr>
          <w:p w:rsidR="008A3FDD" w:rsidRP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8A3FDD">
              <w:rPr>
                <w:b/>
                <w:bCs/>
                <w:i/>
                <w:color w:val="000000"/>
              </w:rPr>
              <w:t>Tasks and Responsibilities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0F1A0E">
        <w:trPr>
          <w:trHeight w:val="700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Develop individualised care and support plans with people experiencing mental illness including,</w:t>
            </w:r>
          </w:p>
          <w:p w:rsidR="008A3FDD" w:rsidRPr="006C6076" w:rsidRDefault="006F4FC3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implementing</w:t>
            </w:r>
            <w:r w:rsidR="008A3FDD">
              <w:rPr>
                <w:color w:val="000000"/>
              </w:rPr>
              <w:t>, and reviewing with participants.</w:t>
            </w: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Provide direct and indirect support to people experiencing mental illness who reside in social and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community housing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8A3FDD">
        <w:trPr>
          <w:trHeight w:val="275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Development of internal and external partnerships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8A3FDD">
        <w:trPr>
          <w:trHeight w:val="275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Development of referral and support pathways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8A3FDD">
        <w:trPr>
          <w:trHeight w:val="275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Completion of file and other reporting and data collection requirements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Ensure consumer/ participant engagement in program and service development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8A3FDD">
        <w:trPr>
          <w:trHeight w:val="275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Update own skills and abilities through personal and professional development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Reporting to </w:t>
            </w:r>
            <w:r w:rsidR="006F4FC3">
              <w:rPr>
                <w:color w:val="000000"/>
              </w:rPr>
              <w:t>Coordinator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  <w:shd w:val="clear" w:color="auto" w:fill="D9D9D9" w:themeFill="background1" w:themeFillShade="D9"/>
          </w:tcPr>
          <w:p w:rsidR="008A3FDD" w:rsidRP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8A3FDD">
              <w:rPr>
                <w:b/>
                <w:bCs/>
                <w:i/>
                <w:color w:val="000000"/>
              </w:rPr>
              <w:t>Participation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Contribute as a pro-active and effective team member offering assistance and support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Attend and actively participate in team meetings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Contribute to the development of an organisation mental health services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Support and adhere to relevant Anglicare Central Queensland policies and procedures</w:t>
            </w:r>
          </w:p>
          <w:p w:rsidR="006F4FC3" w:rsidRDefault="006F4FC3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Alignment of own personal behaviour with the organisational purpose, values and goals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Support and contribute to the development and maintenance of a healthy, creative and supportive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working environment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  <w:shd w:val="clear" w:color="auto" w:fill="D9D9D9" w:themeFill="background1" w:themeFillShade="D9"/>
          </w:tcPr>
          <w:p w:rsidR="008A3FDD" w:rsidRP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8A3FDD">
              <w:rPr>
                <w:b/>
                <w:bCs/>
                <w:i/>
                <w:color w:val="000000"/>
              </w:rPr>
              <w:t>Skills and Abilities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Excellent communication skills (verbal and written)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Pr="008121AA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literacy (familiar with the Microsoft Office programs)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prioritise and manage multiple tasks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work as part of a team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Highly organised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Problem solving and conflict resolution/negotiation skills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  <w:shd w:val="clear" w:color="auto" w:fill="D9D9D9" w:themeFill="background1" w:themeFillShade="D9"/>
          </w:tcPr>
          <w:p w:rsidR="008A3FDD" w:rsidRP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8A3FDD">
              <w:rPr>
                <w:b/>
                <w:bCs/>
                <w:i/>
                <w:color w:val="000000"/>
              </w:rPr>
              <w:t>Attributes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Enthusiastic and motivated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Attention to detail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Punctual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Shows initiative, self directed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Honest with integrity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8A3FDD" w:rsidTr="008A3FDD">
        <w:trPr>
          <w:trHeight w:val="287"/>
        </w:trPr>
        <w:tc>
          <w:tcPr>
            <w:tcW w:w="9661" w:type="dxa"/>
          </w:tcPr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Leads and participates well in teams</w:t>
            </w:r>
          </w:p>
          <w:p w:rsidR="008A3FDD" w:rsidRDefault="008A3FDD" w:rsidP="008A3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8A3FDD" w:rsidRDefault="008A3FDD" w:rsidP="0050681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Deliverable Outcomes</w:t>
      </w:r>
    </w:p>
    <w:p w:rsidR="008121AA" w:rsidRDefault="008121AA" w:rsidP="006F4FC3">
      <w:pPr>
        <w:autoSpaceDE w:val="0"/>
        <w:autoSpaceDN w:val="0"/>
        <w:adjustRightInd w:val="0"/>
        <w:spacing w:after="0"/>
        <w:rPr>
          <w:b/>
          <w:bCs/>
          <w:color w:val="000000"/>
        </w:rPr>
      </w:pPr>
    </w:p>
    <w:p w:rsidR="0050681C" w:rsidRDefault="0050681C" w:rsidP="006F4FC3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Effective implementation of Personalised Support Service and engagement with participants</w:t>
      </w:r>
      <w:r w:rsidR="006F4FC3">
        <w:rPr>
          <w:color w:val="000000"/>
        </w:rPr>
        <w:t xml:space="preserve"> meeting Service Agreement requirements.</w:t>
      </w:r>
    </w:p>
    <w:p w:rsidR="008121AA" w:rsidRDefault="008121AA" w:rsidP="006F4FC3">
      <w:pPr>
        <w:autoSpaceDE w:val="0"/>
        <w:autoSpaceDN w:val="0"/>
        <w:adjustRightInd w:val="0"/>
        <w:spacing w:after="0"/>
        <w:rPr>
          <w:b/>
          <w:bCs/>
          <w:color w:val="000000"/>
        </w:rPr>
      </w:pPr>
    </w:p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Qualifications and Experience</w:t>
      </w:r>
    </w:p>
    <w:p w:rsidR="008121AA" w:rsidRDefault="008121AA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Tertiary qualifications and/or experience in a discipline relating to Mental Health, social</w:t>
      </w:r>
    </w:p>
    <w:p w:rsidR="0050681C" w:rsidRDefault="008A3FDD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Services</w:t>
      </w:r>
      <w:r w:rsidR="0050681C">
        <w:rPr>
          <w:color w:val="000000"/>
        </w:rPr>
        <w:t xml:space="preserve"> or a related discipline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Understanding of Recovery Based Approach and Strengths Based Practice</w:t>
      </w:r>
    </w:p>
    <w:p w:rsidR="008121AA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Knowledge and understanding of mental health issues</w:t>
      </w:r>
    </w:p>
    <w:p w:rsidR="008121AA" w:rsidRDefault="008121AA" w:rsidP="0050681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681C" w:rsidRDefault="0050681C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Other Requirements of the Position</w:t>
      </w:r>
    </w:p>
    <w:p w:rsidR="008121AA" w:rsidRDefault="008121AA" w:rsidP="005068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Must hold a current Queensland Open Driver’s licence [or licence recognised by Australian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laws]</w:t>
      </w:r>
    </w:p>
    <w:p w:rsidR="006F4FC3" w:rsidRDefault="0050681C" w:rsidP="003708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rPr>
          <w:color w:val="000000"/>
        </w:rPr>
      </w:pPr>
      <w:r w:rsidRPr="006F4FC3">
        <w:rPr>
          <w:color w:val="000000"/>
        </w:rPr>
        <w:t>Must have proof of current eligibility to work in Australia [Visa holders]</w:t>
      </w:r>
    </w:p>
    <w:p w:rsidR="0050681C" w:rsidRPr="006F4FC3" w:rsidRDefault="0050681C" w:rsidP="003708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rPr>
          <w:color w:val="000000"/>
        </w:rPr>
      </w:pPr>
      <w:r w:rsidRPr="006F4FC3">
        <w:rPr>
          <w:color w:val="000000"/>
        </w:rPr>
        <w:t>The appointee to this position will be required to complete a six (6) month period of probation</w:t>
      </w:r>
    </w:p>
    <w:p w:rsidR="0050681C" w:rsidRPr="006F4FC3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As part of Anglicare Central Queensland’s employment screening process, preferred</w:t>
      </w:r>
      <w:r w:rsidR="006F4FC3">
        <w:rPr>
          <w:color w:val="000000"/>
        </w:rPr>
        <w:t xml:space="preserve"> </w:t>
      </w:r>
      <w:r>
        <w:rPr>
          <w:color w:val="000000"/>
        </w:rPr>
        <w:t>applicants will be subjected to an employment ‘suitability check’ with the Commission for</w:t>
      </w:r>
      <w:r w:rsidR="006F4FC3">
        <w:rPr>
          <w:color w:val="000000"/>
        </w:rPr>
        <w:t xml:space="preserve"> </w:t>
      </w:r>
      <w:r>
        <w:rPr>
          <w:color w:val="000000"/>
        </w:rPr>
        <w:t>Children and Young People and Child Guardian. Further details regarding this check may be</w:t>
      </w:r>
      <w:r w:rsidR="006F4FC3">
        <w:rPr>
          <w:color w:val="000000"/>
        </w:rPr>
        <w:t xml:space="preserve"> </w:t>
      </w:r>
      <w:r>
        <w:rPr>
          <w:color w:val="000000"/>
        </w:rPr>
        <w:t>obtained by accessing the web site of the Commission for Children and Young People and</w:t>
      </w:r>
      <w:r w:rsidR="006F4FC3">
        <w:rPr>
          <w:color w:val="000000"/>
        </w:rPr>
        <w:t xml:space="preserve"> </w:t>
      </w:r>
      <w:r>
        <w:rPr>
          <w:color w:val="000000"/>
        </w:rPr>
        <w:t xml:space="preserve">Child Guardian at the following internet address: </w:t>
      </w:r>
      <w:r>
        <w:rPr>
          <w:color w:val="0000FF"/>
        </w:rPr>
        <w:t>http://www.bluecard.qld.gov.au/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  <w:r>
        <w:rPr>
          <w:i/>
          <w:iCs/>
          <w:color w:val="000000"/>
        </w:rPr>
        <w:t>Anglicare Central Queensland is an equal opportunity employer encouraging individuals from diverse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  <w:r>
        <w:rPr>
          <w:i/>
          <w:iCs/>
          <w:color w:val="000000"/>
        </w:rPr>
        <w:t>backgrounds and cultures to apply.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</w:p>
    <w:p w:rsidR="0050681C" w:rsidRDefault="0050681C" w:rsidP="003708C8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>Key Selection Criteria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1. Demonstrated ability to work effectively with families and individuals affected by mental illness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2. Highly developed verbal and written communication skills and interpersonal skills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3. Demonstrated ability to develop and implement support plans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4. Demonstrated capacity to form partnerships with internal and external stakeholders including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people living with mental illness.</w:t>
      </w:r>
    </w:p>
    <w:p w:rsidR="0050681C" w:rsidRDefault="0050681C" w:rsidP="003708C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5. Understanding of Mental Health Act, Residential Tenancy Rooming and Accommodation Act</w:t>
      </w:r>
    </w:p>
    <w:p w:rsidR="0074130D" w:rsidRPr="0057454A" w:rsidRDefault="0050681C" w:rsidP="003708C8">
      <w:pPr>
        <w:spacing w:after="120"/>
        <w:rPr>
          <w:b/>
          <w:bCs/>
        </w:rPr>
      </w:pPr>
      <w:r>
        <w:rPr>
          <w:color w:val="000000"/>
        </w:rPr>
        <w:t>as well as relevant laws and legislation.</w:t>
      </w:r>
      <w:r w:rsidR="008010CB" w:rsidRPr="008010CB">
        <w:rPr>
          <w:rFonts w:ascii="Arial" w:hAnsi="Arial" w:cs="Arial"/>
          <w:b/>
          <w:noProof/>
          <w:sz w:val="24"/>
          <w:szCs w:val="24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7.25pt;margin-top:-41.75pt;width:60pt;height:126pt;z-index:251657728;mso-position-horizontal-relative:text;mso-position-vertical-relative:text" fillcolor="#fc0" stroked="f">
            <v:textbox style="layout-flow:vertical;mso-layout-flow-alt:bottom-to-top;mso-next-textbox:#_x0000_s1026">
              <w:txbxContent>
                <w:p w:rsidR="00F65915" w:rsidRPr="00A71E21" w:rsidRDefault="00F65915" w:rsidP="003E45CE">
                  <w:pPr>
                    <w:spacing w:after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                    </w:t>
                  </w:r>
                </w:p>
                <w:p w:rsidR="00F65915" w:rsidRPr="003E45CE" w:rsidRDefault="00F65915">
                  <w:pPr>
                    <w:rPr>
                      <w:rFonts w:ascii="Arial" w:hAnsi="Arial" w:cs="Arial"/>
                      <w:color w:val="FFFFFF"/>
                      <w:sz w:val="40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40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74130D" w:rsidRPr="0057454A" w:rsidSect="00083962">
      <w:headerReference w:type="default" r:id="rId12"/>
      <w:footerReference w:type="default" r:id="rId13"/>
      <w:pgSz w:w="11907" w:h="16839" w:code="9"/>
      <w:pgMar w:top="425" w:right="1134" w:bottom="709" w:left="1134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CC" w:rsidRDefault="00D203CC" w:rsidP="006D6D76">
      <w:pPr>
        <w:spacing w:after="0" w:line="240" w:lineRule="auto"/>
      </w:pPr>
      <w:r>
        <w:separator/>
      </w:r>
    </w:p>
  </w:endnote>
  <w:endnote w:type="continuationSeparator" w:id="0">
    <w:p w:rsidR="00D203CC" w:rsidRDefault="00D203CC" w:rsidP="006D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15" w:rsidRDefault="00F65915" w:rsidP="00083962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56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043F9">
      <w:rPr>
        <w:rFonts w:ascii="Arial" w:hAnsi="Arial" w:cs="Arial"/>
        <w:sz w:val="18"/>
        <w:szCs w:val="18"/>
      </w:rPr>
      <w:t xml:space="preserve">Page </w:t>
    </w:r>
    <w:r w:rsidR="008010CB"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PAGE </w:instrText>
    </w:r>
    <w:r w:rsidR="008010CB" w:rsidRPr="00B043F9">
      <w:rPr>
        <w:rFonts w:ascii="Arial" w:hAnsi="Arial" w:cs="Arial"/>
        <w:b/>
        <w:sz w:val="18"/>
        <w:szCs w:val="18"/>
      </w:rPr>
      <w:fldChar w:fldCharType="separate"/>
    </w:r>
    <w:r w:rsidR="002678B1">
      <w:rPr>
        <w:rFonts w:ascii="Arial" w:hAnsi="Arial" w:cs="Arial"/>
        <w:b/>
        <w:noProof/>
        <w:sz w:val="18"/>
        <w:szCs w:val="18"/>
      </w:rPr>
      <w:t>1</w:t>
    </w:r>
    <w:r w:rsidR="008010CB" w:rsidRPr="00B043F9">
      <w:rPr>
        <w:rFonts w:ascii="Arial" w:hAnsi="Arial" w:cs="Arial"/>
        <w:b/>
        <w:sz w:val="18"/>
        <w:szCs w:val="18"/>
      </w:rPr>
      <w:fldChar w:fldCharType="end"/>
    </w:r>
    <w:r w:rsidRPr="00B043F9">
      <w:rPr>
        <w:rFonts w:ascii="Arial" w:hAnsi="Arial" w:cs="Arial"/>
        <w:sz w:val="18"/>
        <w:szCs w:val="18"/>
      </w:rPr>
      <w:t xml:space="preserve"> of </w:t>
    </w:r>
    <w:r w:rsidR="008010CB"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NUMPAGES  </w:instrText>
    </w:r>
    <w:r w:rsidR="008010CB" w:rsidRPr="00B043F9">
      <w:rPr>
        <w:rFonts w:ascii="Arial" w:hAnsi="Arial" w:cs="Arial"/>
        <w:b/>
        <w:sz w:val="18"/>
        <w:szCs w:val="18"/>
      </w:rPr>
      <w:fldChar w:fldCharType="separate"/>
    </w:r>
    <w:r w:rsidR="002678B1">
      <w:rPr>
        <w:rFonts w:ascii="Arial" w:hAnsi="Arial" w:cs="Arial"/>
        <w:b/>
        <w:noProof/>
        <w:sz w:val="18"/>
        <w:szCs w:val="18"/>
      </w:rPr>
      <w:t>4</w:t>
    </w:r>
    <w:r w:rsidR="008010CB" w:rsidRPr="00B043F9">
      <w:rPr>
        <w:rFonts w:ascii="Arial" w:hAnsi="Arial" w:cs="Arial"/>
        <w:b/>
        <w:sz w:val="18"/>
        <w:szCs w:val="18"/>
      </w:rPr>
      <w:fldChar w:fldCharType="end"/>
    </w:r>
  </w:p>
  <w:p w:rsidR="00F65915" w:rsidRDefault="00F65915" w:rsidP="00686C39">
    <w:pPr>
      <w:pStyle w:val="Footer"/>
      <w:tabs>
        <w:tab w:val="clear" w:pos="4680"/>
        <w:tab w:val="left" w:pos="15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CC" w:rsidRDefault="00D203CC" w:rsidP="006D6D76">
      <w:pPr>
        <w:spacing w:after="0" w:line="240" w:lineRule="auto"/>
      </w:pPr>
      <w:r>
        <w:separator/>
      </w:r>
    </w:p>
  </w:footnote>
  <w:footnote w:type="continuationSeparator" w:id="0">
    <w:p w:rsidR="00D203CC" w:rsidRDefault="00D203CC" w:rsidP="006D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15" w:rsidRPr="00FE0508" w:rsidRDefault="00F65915" w:rsidP="00871257">
    <w:pPr>
      <w:spacing w:after="0"/>
      <w:rPr>
        <w:rFonts w:ascii="Arial" w:hAnsi="Arial" w:cs="Arial"/>
        <w:b/>
        <w:sz w:val="24"/>
        <w:szCs w:val="24"/>
      </w:rPr>
    </w:pPr>
    <w:r w:rsidRPr="00D03288">
      <w:rPr>
        <w:noProof/>
        <w:lang w:val="en-AU" w:eastAsia="en-AU"/>
      </w:rPr>
      <w:drawing>
        <wp:inline distT="0" distB="0" distL="0" distR="0">
          <wp:extent cx="1306159" cy="381000"/>
          <wp:effectExtent l="19050" t="0" r="8291" b="0"/>
          <wp:docPr id="1" name="Picture 1" descr="http://acq-sharepoint/Document%20Library/Marketing/AnglicareCQ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cq-sharepoint/Document%20Library/Marketing/AnglicareCQ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59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6C8"/>
    <w:multiLevelType w:val="hybridMultilevel"/>
    <w:tmpl w:val="112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E48AC"/>
    <w:multiLevelType w:val="hybridMultilevel"/>
    <w:tmpl w:val="473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3A04"/>
    <w:multiLevelType w:val="hybridMultilevel"/>
    <w:tmpl w:val="E52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656B"/>
    <w:multiLevelType w:val="hybridMultilevel"/>
    <w:tmpl w:val="A5F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27EF"/>
    <w:multiLevelType w:val="hybridMultilevel"/>
    <w:tmpl w:val="510E0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F5695"/>
    <w:multiLevelType w:val="hybridMultilevel"/>
    <w:tmpl w:val="B26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D5D04"/>
    <w:multiLevelType w:val="hybridMultilevel"/>
    <w:tmpl w:val="13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465"/>
    <w:multiLevelType w:val="hybridMultilevel"/>
    <w:tmpl w:val="E42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82242"/>
    <w:multiLevelType w:val="hybridMultilevel"/>
    <w:tmpl w:val="F9A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147D"/>
    <w:multiLevelType w:val="hybridMultilevel"/>
    <w:tmpl w:val="85709B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F53D2"/>
    <w:multiLevelType w:val="hybridMultilevel"/>
    <w:tmpl w:val="BFA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2779A"/>
    <w:rsid w:val="00025F4C"/>
    <w:rsid w:val="0003241D"/>
    <w:rsid w:val="00036519"/>
    <w:rsid w:val="00042EFC"/>
    <w:rsid w:val="000537B6"/>
    <w:rsid w:val="00064462"/>
    <w:rsid w:val="00067787"/>
    <w:rsid w:val="000703C8"/>
    <w:rsid w:val="00072B3F"/>
    <w:rsid w:val="000817E9"/>
    <w:rsid w:val="00083962"/>
    <w:rsid w:val="000A75D2"/>
    <w:rsid w:val="000D16CE"/>
    <w:rsid w:val="000F1A0E"/>
    <w:rsid w:val="001014FA"/>
    <w:rsid w:val="00111CBE"/>
    <w:rsid w:val="00116328"/>
    <w:rsid w:val="00140581"/>
    <w:rsid w:val="001673B3"/>
    <w:rsid w:val="001A478B"/>
    <w:rsid w:val="001A522F"/>
    <w:rsid w:val="001B3ABA"/>
    <w:rsid w:val="001C4D43"/>
    <w:rsid w:val="002065DF"/>
    <w:rsid w:val="00211CE5"/>
    <w:rsid w:val="00266FB0"/>
    <w:rsid w:val="002678B1"/>
    <w:rsid w:val="002B364F"/>
    <w:rsid w:val="002D2601"/>
    <w:rsid w:val="002D6779"/>
    <w:rsid w:val="002D6C89"/>
    <w:rsid w:val="002E2854"/>
    <w:rsid w:val="002F5517"/>
    <w:rsid w:val="00312608"/>
    <w:rsid w:val="00312C65"/>
    <w:rsid w:val="00324312"/>
    <w:rsid w:val="003403F6"/>
    <w:rsid w:val="0035064A"/>
    <w:rsid w:val="003708C8"/>
    <w:rsid w:val="00395A0B"/>
    <w:rsid w:val="003A18A9"/>
    <w:rsid w:val="003A225F"/>
    <w:rsid w:val="003C4735"/>
    <w:rsid w:val="003E45CE"/>
    <w:rsid w:val="003F2F92"/>
    <w:rsid w:val="00413377"/>
    <w:rsid w:val="004139BD"/>
    <w:rsid w:val="004477CB"/>
    <w:rsid w:val="0045659B"/>
    <w:rsid w:val="004702C7"/>
    <w:rsid w:val="0047193B"/>
    <w:rsid w:val="00484602"/>
    <w:rsid w:val="004879FD"/>
    <w:rsid w:val="004B3DD1"/>
    <w:rsid w:val="004B4715"/>
    <w:rsid w:val="004C1FBA"/>
    <w:rsid w:val="004C77B5"/>
    <w:rsid w:val="004D7276"/>
    <w:rsid w:val="0050681C"/>
    <w:rsid w:val="005249EC"/>
    <w:rsid w:val="00525321"/>
    <w:rsid w:val="00557312"/>
    <w:rsid w:val="005663D4"/>
    <w:rsid w:val="0057454A"/>
    <w:rsid w:val="00582AF3"/>
    <w:rsid w:val="00595BBF"/>
    <w:rsid w:val="005A6C19"/>
    <w:rsid w:val="005B52D8"/>
    <w:rsid w:val="005C73D8"/>
    <w:rsid w:val="005D683D"/>
    <w:rsid w:val="0062238B"/>
    <w:rsid w:val="0062779A"/>
    <w:rsid w:val="0064355E"/>
    <w:rsid w:val="006528AA"/>
    <w:rsid w:val="006633E5"/>
    <w:rsid w:val="006765A7"/>
    <w:rsid w:val="00680E66"/>
    <w:rsid w:val="00686C39"/>
    <w:rsid w:val="006B7581"/>
    <w:rsid w:val="006C6076"/>
    <w:rsid w:val="006D6D76"/>
    <w:rsid w:val="006F4FC3"/>
    <w:rsid w:val="00700C59"/>
    <w:rsid w:val="007153EA"/>
    <w:rsid w:val="00727F61"/>
    <w:rsid w:val="0073087E"/>
    <w:rsid w:val="00733DF9"/>
    <w:rsid w:val="0074130D"/>
    <w:rsid w:val="00771814"/>
    <w:rsid w:val="00775106"/>
    <w:rsid w:val="007957D1"/>
    <w:rsid w:val="007A68DC"/>
    <w:rsid w:val="007B69A7"/>
    <w:rsid w:val="007E47B9"/>
    <w:rsid w:val="008010CB"/>
    <w:rsid w:val="008121AA"/>
    <w:rsid w:val="00852821"/>
    <w:rsid w:val="00855504"/>
    <w:rsid w:val="00871257"/>
    <w:rsid w:val="00881E52"/>
    <w:rsid w:val="00890AFE"/>
    <w:rsid w:val="008A3FDD"/>
    <w:rsid w:val="008B1C58"/>
    <w:rsid w:val="008B3B93"/>
    <w:rsid w:val="008C4238"/>
    <w:rsid w:val="008C47E2"/>
    <w:rsid w:val="008C69F0"/>
    <w:rsid w:val="008F15FE"/>
    <w:rsid w:val="008F6531"/>
    <w:rsid w:val="00944F74"/>
    <w:rsid w:val="009456FF"/>
    <w:rsid w:val="0096469F"/>
    <w:rsid w:val="00972047"/>
    <w:rsid w:val="0098278A"/>
    <w:rsid w:val="009928DC"/>
    <w:rsid w:val="009D2DA8"/>
    <w:rsid w:val="009D3748"/>
    <w:rsid w:val="009D7DB8"/>
    <w:rsid w:val="009E21B5"/>
    <w:rsid w:val="009F55D1"/>
    <w:rsid w:val="00A40B1E"/>
    <w:rsid w:val="00A71E21"/>
    <w:rsid w:val="00A8042A"/>
    <w:rsid w:val="00AB3158"/>
    <w:rsid w:val="00AC6B02"/>
    <w:rsid w:val="00AC7315"/>
    <w:rsid w:val="00AD44D3"/>
    <w:rsid w:val="00AD60B0"/>
    <w:rsid w:val="00AD7BB6"/>
    <w:rsid w:val="00AE23A0"/>
    <w:rsid w:val="00AE2C7E"/>
    <w:rsid w:val="00AF57C1"/>
    <w:rsid w:val="00B061EA"/>
    <w:rsid w:val="00B17230"/>
    <w:rsid w:val="00B2093D"/>
    <w:rsid w:val="00B34019"/>
    <w:rsid w:val="00B63AEA"/>
    <w:rsid w:val="00B769A1"/>
    <w:rsid w:val="00B94862"/>
    <w:rsid w:val="00B964FB"/>
    <w:rsid w:val="00BC6112"/>
    <w:rsid w:val="00BD492F"/>
    <w:rsid w:val="00BE2864"/>
    <w:rsid w:val="00BF29DB"/>
    <w:rsid w:val="00C17182"/>
    <w:rsid w:val="00C242A2"/>
    <w:rsid w:val="00C3656E"/>
    <w:rsid w:val="00C7397C"/>
    <w:rsid w:val="00C9697E"/>
    <w:rsid w:val="00CA04D5"/>
    <w:rsid w:val="00CA5335"/>
    <w:rsid w:val="00CB06A5"/>
    <w:rsid w:val="00CC5959"/>
    <w:rsid w:val="00CD57F2"/>
    <w:rsid w:val="00CF1E71"/>
    <w:rsid w:val="00D03288"/>
    <w:rsid w:val="00D203CC"/>
    <w:rsid w:val="00D25B66"/>
    <w:rsid w:val="00D3152A"/>
    <w:rsid w:val="00D37673"/>
    <w:rsid w:val="00D64CF3"/>
    <w:rsid w:val="00D800A7"/>
    <w:rsid w:val="00DA22A6"/>
    <w:rsid w:val="00DA6AB9"/>
    <w:rsid w:val="00DC59AB"/>
    <w:rsid w:val="00DD4FB0"/>
    <w:rsid w:val="00DF2A46"/>
    <w:rsid w:val="00E02D9A"/>
    <w:rsid w:val="00E14D57"/>
    <w:rsid w:val="00E21E08"/>
    <w:rsid w:val="00E22EC3"/>
    <w:rsid w:val="00E514EB"/>
    <w:rsid w:val="00E63184"/>
    <w:rsid w:val="00E638FD"/>
    <w:rsid w:val="00E65780"/>
    <w:rsid w:val="00E86033"/>
    <w:rsid w:val="00E86DCD"/>
    <w:rsid w:val="00EA1CA5"/>
    <w:rsid w:val="00EA670A"/>
    <w:rsid w:val="00EC1FA9"/>
    <w:rsid w:val="00F13832"/>
    <w:rsid w:val="00F20294"/>
    <w:rsid w:val="00F33C8E"/>
    <w:rsid w:val="00F406AD"/>
    <w:rsid w:val="00F65915"/>
    <w:rsid w:val="00F66ECD"/>
    <w:rsid w:val="00FA77B4"/>
    <w:rsid w:val="00FB1A35"/>
    <w:rsid w:val="00FB3A80"/>
    <w:rsid w:val="00FD29C0"/>
    <w:rsid w:val="00FE0508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C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76"/>
  </w:style>
  <w:style w:type="paragraph" w:styleId="Footer">
    <w:name w:val="footer"/>
    <w:basedOn w:val="Normal"/>
    <w:link w:val="Foot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76"/>
  </w:style>
  <w:style w:type="paragraph" w:customStyle="1" w:styleId="Style2">
    <w:name w:val="Style2"/>
    <w:basedOn w:val="Heading4"/>
    <w:rsid w:val="00E22EC3"/>
    <w:pPr>
      <w:tabs>
        <w:tab w:val="left" w:pos="0"/>
        <w:tab w:val="left" w:pos="78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bCs w:val="0"/>
      <w:sz w:val="40"/>
      <w:szCs w:val="24"/>
      <w:u w:val="single"/>
      <w:lang w:val="en-AU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C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47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22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A2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A7223FF73649A9740F9940FA5091" ma:contentTypeVersion="0" ma:contentTypeDescription="Create a new document." ma:contentTypeScope="" ma:versionID="195bb1c7bc4e9ba5a7637d37f35baaf4">
  <xsd:schema xmlns:xsd="http://www.w3.org/2001/XMLSchema" xmlns:xs="http://www.w3.org/2001/XMLSchema" xmlns:p="http://schemas.microsoft.com/office/2006/metadata/properties" xmlns:ns2="e2be8d5d-0c3e-482b-b592-50d3d1198e34" targetNamespace="http://schemas.microsoft.com/office/2006/metadata/properties" ma:root="true" ma:fieldsID="e51cfe6937e016bb1e51cd50bdcf6fff" ns2:_="">
    <xsd:import namespace="e2be8d5d-0c3e-482b-b592-50d3d119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8d5d-0c3e-482b-b592-50d3d1198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be8d5d-0c3e-482b-b592-50d3d1198e34">YRTX25CYPEKM-19-429</_dlc_DocId>
    <_dlc_DocIdUrl xmlns="e2be8d5d-0c3e-482b-b592-50d3d1198e34">
      <Url>http://acqdctrspt01/_layouts/DocIdRedir.aspx?ID=YRTX25CYPEKM-19-429</Url>
      <Description>YRTX25CYPEKM-19-429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ED55-010A-40FD-B775-D731AC19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68A80-3B5B-469C-BEF3-80677F3FBD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BEF2C3-F207-4D77-8330-9186F54E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8d5d-0c3e-482b-b592-50d3d119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FD62F-9D5D-4983-8072-C92EBBD1FC8B}">
  <ds:schemaRefs>
    <ds:schemaRef ds:uri="http://schemas.microsoft.com/office/2006/metadata/properties"/>
    <ds:schemaRef ds:uri="http://schemas.microsoft.com/office/infopath/2007/PartnerControls"/>
    <ds:schemaRef ds:uri="e2be8d5d-0c3e-482b-b592-50d3d1198e34"/>
  </ds:schemaRefs>
</ds:datastoreItem>
</file>

<file path=customXml/itemProps5.xml><?xml version="1.0" encoding="utf-8"?>
<ds:datastoreItem xmlns:ds="http://schemas.openxmlformats.org/officeDocument/2006/customXml" ds:itemID="{D150FAB3-CE7B-40C8-A41B-688CDA79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 (for Internal Users)</vt:lpstr>
    </vt:vector>
  </TitlesOfParts>
  <Company>Anglicare Central Queensland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 (for Internal Users)</dc:title>
  <dc:creator>Melinda White</dc:creator>
  <cp:lastModifiedBy>jsmith</cp:lastModifiedBy>
  <cp:revision>3</cp:revision>
  <cp:lastPrinted>2013-06-03T00:45:00Z</cp:lastPrinted>
  <dcterms:created xsi:type="dcterms:W3CDTF">2016-07-22T03:09:00Z</dcterms:created>
  <dcterms:modified xsi:type="dcterms:W3CDTF">2016-07-22T03:14:00Z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0x01010087C8A7223FF73649A9740F9940FA5091</vt:lpwstr>
  </property>
  <property fmtid="{D5CDD505-2E9C-101B-9397-08002B2CF9AE}" pid="3" name="_dlc_DocIdItemGuid">
    <vt:lpwstr>de5ec85f-dedc-41f8-8d99-c04ca3b6fa58</vt:lpwstr>
  </property>
</Properties>
</file>